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483221" w14:textId="72CF9906" w:rsidR="005F1614" w:rsidRPr="003D5289" w:rsidRDefault="003D5289">
      <w:pPr>
        <w:rPr>
          <w:b/>
          <w:bCs/>
          <w:color w:val="0070C0"/>
          <w:sz w:val="28"/>
          <w:szCs w:val="28"/>
        </w:rPr>
      </w:pPr>
      <w:r w:rsidRPr="003D5289">
        <w:rPr>
          <w:b/>
          <w:bCs/>
          <w:color w:val="0070C0"/>
          <w:sz w:val="28"/>
          <w:szCs w:val="28"/>
        </w:rPr>
        <w:t>PLATTE RIVER RECOVERY IMPLEMENTATION PROGRAM (PRRIP -OR- P</w:t>
      </w:r>
      <w:r>
        <w:rPr>
          <w:b/>
          <w:bCs/>
          <w:color w:val="0070C0"/>
          <w:sz w:val="28"/>
          <w:szCs w:val="28"/>
        </w:rPr>
        <w:t>rogram</w:t>
      </w:r>
      <w:r w:rsidRPr="003D5289">
        <w:rPr>
          <w:b/>
          <w:bCs/>
          <w:color w:val="0070C0"/>
          <w:sz w:val="28"/>
          <w:szCs w:val="28"/>
        </w:rPr>
        <w:t>)</w:t>
      </w:r>
    </w:p>
    <w:p w14:paraId="41769832" w14:textId="663A635D" w:rsidR="003D5289" w:rsidRDefault="003D5289">
      <w:pPr>
        <w:rPr>
          <w:b/>
          <w:bCs/>
        </w:rPr>
      </w:pPr>
      <w:r w:rsidRPr="003D5289">
        <w:rPr>
          <w:b/>
          <w:bCs/>
        </w:rPr>
        <w:t>Germination Suppression Data Analysis Outline</w:t>
      </w:r>
    </w:p>
    <w:p w14:paraId="2D8F2B03" w14:textId="77777777" w:rsidR="003D5289" w:rsidRDefault="003D5289">
      <w:pPr>
        <w:rPr>
          <w:b/>
          <w:bCs/>
        </w:rPr>
      </w:pPr>
    </w:p>
    <w:p w14:paraId="43E709BE" w14:textId="77777777" w:rsidR="00C56496" w:rsidRPr="00276DC7" w:rsidRDefault="00C56496" w:rsidP="00C56496">
      <w:pPr>
        <w:pStyle w:val="Heading1"/>
        <w:tabs>
          <w:tab w:val="left" w:pos="317"/>
        </w:tabs>
        <w:spacing w:before="0"/>
        <w:ind w:firstLine="0"/>
        <w:jc w:val="both"/>
        <w:rPr>
          <w:rFonts w:asciiTheme="minorHAnsi" w:hAnsiTheme="minorHAnsi" w:cstheme="minorHAnsi"/>
          <w:color w:val="0070C0"/>
        </w:rPr>
      </w:pPr>
      <w:r w:rsidRPr="00276DC7">
        <w:rPr>
          <w:rFonts w:asciiTheme="minorHAnsi" w:hAnsiTheme="minorHAnsi" w:cstheme="minorHAnsi"/>
          <w:b w:val="0"/>
          <w:bCs w:val="0"/>
          <w:color w:val="0070C0"/>
          <w:sz w:val="26"/>
          <w:szCs w:val="26"/>
        </w:rPr>
        <w:t>INTRODUCTION</w:t>
      </w:r>
    </w:p>
    <w:p w14:paraId="116D9817" w14:textId="77777777" w:rsidR="00C56496" w:rsidRPr="00EA6F4A" w:rsidRDefault="00C56496" w:rsidP="00C56496">
      <w:pPr>
        <w:pStyle w:val="BodyText"/>
        <w:spacing w:before="122"/>
        <w:jc w:val="both"/>
        <w:rPr>
          <w:rFonts w:asciiTheme="minorHAnsi" w:hAnsiTheme="minorHAnsi" w:cstheme="minorHAnsi"/>
          <w:b/>
          <w:bCs/>
        </w:rPr>
      </w:pPr>
      <w:r w:rsidRPr="00EA6F4A">
        <w:rPr>
          <w:rFonts w:asciiTheme="minorHAnsi" w:hAnsiTheme="minorHAnsi" w:cstheme="minorHAnsi"/>
        </w:rPr>
        <w:t>Whooping crane roosting along the central Platte River is dependent upon wide, shallow river channels unobstructed by tall, dense vegetation. Flow releases to inundate the active channel early in the growing season have been designed to test the effectiveness of using Program water to suppress germination of problematic perennial species like cottonwoods (</w:t>
      </w:r>
      <w:r w:rsidRPr="00EA6F4A">
        <w:rPr>
          <w:rFonts w:asciiTheme="minorHAnsi" w:hAnsiTheme="minorHAnsi" w:cstheme="minorHAnsi"/>
          <w:i/>
          <w:iCs/>
        </w:rPr>
        <w:t xml:space="preserve">Populus </w:t>
      </w:r>
      <w:r w:rsidRPr="00EA6F4A">
        <w:rPr>
          <w:rFonts w:asciiTheme="minorHAnsi" w:hAnsiTheme="minorHAnsi" w:cstheme="minorHAnsi"/>
        </w:rPr>
        <w:t>spp.) and willows (</w:t>
      </w:r>
      <w:r w:rsidRPr="00EA6F4A">
        <w:rPr>
          <w:rFonts w:asciiTheme="minorHAnsi" w:hAnsiTheme="minorHAnsi" w:cstheme="minorHAnsi"/>
          <w:i/>
          <w:iCs/>
        </w:rPr>
        <w:t xml:space="preserve">Salix </w:t>
      </w:r>
      <w:r w:rsidRPr="00EA6F4A">
        <w:rPr>
          <w:rFonts w:asciiTheme="minorHAnsi" w:hAnsiTheme="minorHAnsi" w:cstheme="minorHAnsi"/>
        </w:rPr>
        <w:t xml:space="preserve">spp.), and to attempt to slow encroachment of </w:t>
      </w:r>
      <w:r w:rsidRPr="00EA6F4A">
        <w:rPr>
          <w:rFonts w:asciiTheme="minorHAnsi" w:hAnsiTheme="minorHAnsi" w:cstheme="minorHAnsi"/>
          <w:i/>
          <w:iCs/>
        </w:rPr>
        <w:t xml:space="preserve">Phragmites australis </w:t>
      </w:r>
      <w:r w:rsidRPr="00EA6F4A">
        <w:rPr>
          <w:rFonts w:asciiTheme="minorHAnsi" w:hAnsiTheme="minorHAnsi" w:cstheme="minorHAnsi"/>
        </w:rPr>
        <w:t>into the channel. Information collected during the implementation of germination suppression flow releases is used to evaluate the biological response of riparian vegetation to the inundation of the channel and the effectiveness of these releases in maintaining wide unobstructed channel widths for whooping crane roosting.</w:t>
      </w:r>
      <w:bookmarkStart w:id="0" w:name="_Hlk106099900"/>
    </w:p>
    <w:p w14:paraId="34706A92" w14:textId="14B78A63" w:rsidR="00C56496" w:rsidRPr="00EA6F4A" w:rsidRDefault="00C56496" w:rsidP="00C56496">
      <w:pPr>
        <w:pStyle w:val="BodyText"/>
        <w:spacing w:before="121"/>
        <w:jc w:val="both"/>
        <w:rPr>
          <w:rFonts w:asciiTheme="minorHAnsi" w:hAnsiTheme="minorHAnsi" w:cstheme="minorHAnsi"/>
        </w:rPr>
      </w:pPr>
      <w:r w:rsidRPr="00EA6F4A">
        <w:rPr>
          <w:rFonts w:asciiTheme="minorHAnsi" w:hAnsiTheme="minorHAnsi" w:cstheme="minorHAnsi"/>
          <w:b/>
          <w:bCs/>
        </w:rPr>
        <w:t>Two Extension “Big Questions” (EBQs)</w:t>
      </w:r>
      <w:r w:rsidRPr="00EA6F4A">
        <w:rPr>
          <w:rFonts w:asciiTheme="minorHAnsi" w:hAnsiTheme="minorHAnsi" w:cstheme="minorHAnsi"/>
        </w:rPr>
        <w:t xml:space="preserve"> relate directly to measuring vegetation response to germination suppression flow releases</w:t>
      </w:r>
      <w:r>
        <w:rPr>
          <w:rFonts w:asciiTheme="minorHAnsi" w:hAnsiTheme="minorHAnsi" w:cstheme="minorHAnsi"/>
        </w:rPr>
        <w:t xml:space="preserve"> (</w:t>
      </w:r>
      <w:hyperlink r:id="rId8" w:history="1">
        <w:r w:rsidRPr="00680405">
          <w:rPr>
            <w:rStyle w:val="Hyperlink"/>
            <w:rFonts w:asciiTheme="minorHAnsi" w:hAnsiTheme="minorHAnsi" w:cstheme="minorHAnsi"/>
            <w:b/>
            <w:bCs/>
          </w:rPr>
          <w:t>PRRIP 2022</w:t>
        </w:r>
      </w:hyperlink>
      <w:r>
        <w:rPr>
          <w:rFonts w:asciiTheme="minorHAnsi" w:hAnsiTheme="minorHAnsi" w:cstheme="minorHAnsi"/>
        </w:rPr>
        <w:t>)</w:t>
      </w:r>
      <w:r w:rsidRPr="00EA6F4A">
        <w:rPr>
          <w:rFonts w:asciiTheme="minorHAnsi" w:hAnsiTheme="minorHAnsi" w:cstheme="minorHAnsi"/>
        </w:rPr>
        <w:t>:</w:t>
      </w:r>
    </w:p>
    <w:p w14:paraId="57B53010" w14:textId="7432023A" w:rsidR="00C56496" w:rsidRPr="00EA6F4A" w:rsidRDefault="00C56496" w:rsidP="00C56496">
      <w:pPr>
        <w:pStyle w:val="ListParagraph"/>
        <w:numPr>
          <w:ilvl w:val="0"/>
          <w:numId w:val="1"/>
        </w:numPr>
        <w:tabs>
          <w:tab w:val="left" w:pos="480"/>
          <w:tab w:val="left" w:pos="481"/>
        </w:tabs>
        <w:spacing w:before="59"/>
        <w:ind w:left="360"/>
        <w:jc w:val="both"/>
        <w:rPr>
          <w:rFonts w:asciiTheme="minorHAnsi" w:hAnsiTheme="minorHAnsi" w:cstheme="minorHAnsi"/>
        </w:rPr>
      </w:pPr>
      <w:r w:rsidRPr="00256144">
        <w:rPr>
          <w:rFonts w:asciiTheme="minorHAnsi" w:hAnsiTheme="minorHAnsi" w:cstheme="minorHAnsi"/>
          <w:b/>
          <w:bCs/>
          <w:i/>
          <w:iCs/>
        </w:rPr>
        <w:t>EBQ #1</w:t>
      </w:r>
      <w:r w:rsidRPr="00EA6F4A">
        <w:rPr>
          <w:rFonts w:asciiTheme="minorHAnsi" w:hAnsiTheme="minorHAnsi" w:cstheme="minorHAnsi"/>
          <w:b/>
          <w:bCs/>
          <w:i/>
          <w:iCs/>
        </w:rPr>
        <w:t xml:space="preserve"> – </w:t>
      </w:r>
      <w:r w:rsidRPr="00EA6F4A">
        <w:rPr>
          <w:rFonts w:asciiTheme="minorHAnsi" w:hAnsiTheme="minorHAnsi" w:cstheme="minorHAnsi"/>
        </w:rPr>
        <w:t>How effective is it to use Program water to maintain suitable whooping crane roosting habitat?</w:t>
      </w:r>
    </w:p>
    <w:p w14:paraId="5D01CB86" w14:textId="77777777" w:rsidR="00C56496" w:rsidRPr="004A3DFC" w:rsidRDefault="00C56496" w:rsidP="00C56496">
      <w:pPr>
        <w:tabs>
          <w:tab w:val="left" w:pos="480"/>
          <w:tab w:val="left" w:pos="481"/>
        </w:tabs>
        <w:jc w:val="both"/>
        <w:rPr>
          <w:rFonts w:asciiTheme="minorHAnsi" w:hAnsiTheme="minorHAnsi" w:cstheme="minorHAnsi"/>
        </w:rPr>
      </w:pPr>
      <w:r w:rsidRPr="004A3DFC">
        <w:rPr>
          <w:rFonts w:asciiTheme="minorHAnsi" w:hAnsiTheme="minorHAnsi" w:cstheme="minorHAnsi"/>
        </w:rPr>
        <w:t>Management Hypothesis: Releases to achieve a 30-day minimum flow target of 1,500 cfs between June 1 – July 15 will suppress germination, slow vegetation expansion into the channel, and increase the percent of AHR channel that remains highly suitable for whooping crane roosting (germination suppression release).</w:t>
      </w:r>
    </w:p>
    <w:p w14:paraId="28E9BB3B" w14:textId="4CF9A540" w:rsidR="00C56496" w:rsidRDefault="00C56496" w:rsidP="00C56496">
      <w:pPr>
        <w:pStyle w:val="ListParagraph"/>
        <w:numPr>
          <w:ilvl w:val="0"/>
          <w:numId w:val="1"/>
        </w:numPr>
        <w:tabs>
          <w:tab w:val="left" w:pos="480"/>
          <w:tab w:val="left" w:pos="481"/>
        </w:tabs>
        <w:ind w:left="360"/>
        <w:jc w:val="both"/>
        <w:rPr>
          <w:rFonts w:asciiTheme="minorHAnsi" w:hAnsiTheme="minorHAnsi" w:cstheme="minorHAnsi"/>
        </w:rPr>
      </w:pPr>
      <w:r w:rsidRPr="00256144">
        <w:rPr>
          <w:rFonts w:asciiTheme="minorHAnsi" w:hAnsiTheme="minorHAnsi" w:cstheme="minorHAnsi"/>
          <w:b/>
          <w:bCs/>
          <w:i/>
          <w:iCs/>
        </w:rPr>
        <w:t>EBQ #2</w:t>
      </w:r>
      <w:r w:rsidRPr="00EA6F4A">
        <w:rPr>
          <w:rFonts w:asciiTheme="minorHAnsi" w:hAnsiTheme="minorHAnsi" w:cstheme="minorHAnsi"/>
          <w:b/>
          <w:bCs/>
          <w:i/>
          <w:iCs/>
        </w:rPr>
        <w:t xml:space="preserve"> – </w:t>
      </w:r>
      <w:r w:rsidRPr="00EA6F4A">
        <w:rPr>
          <w:rFonts w:asciiTheme="minorHAnsi" w:hAnsiTheme="minorHAnsi" w:cstheme="minorHAnsi"/>
        </w:rPr>
        <w:t xml:space="preserve">How effective is Program management of </w:t>
      </w:r>
      <w:r w:rsidRPr="00EA6F4A">
        <w:rPr>
          <w:rFonts w:asciiTheme="minorHAnsi" w:hAnsiTheme="minorHAnsi" w:cstheme="minorHAnsi"/>
          <w:i/>
          <w:iCs/>
        </w:rPr>
        <w:t>Phragmites</w:t>
      </w:r>
      <w:r w:rsidRPr="00EA6F4A">
        <w:rPr>
          <w:rFonts w:asciiTheme="minorHAnsi" w:hAnsiTheme="minorHAnsi" w:cstheme="minorHAnsi"/>
        </w:rPr>
        <w:t xml:space="preserve"> for maintaining suitable whooping crane roosting habitat?</w:t>
      </w:r>
      <w:r w:rsidRPr="004A3DFC">
        <w:rPr>
          <w:rFonts w:asciiTheme="minorHAnsi" w:hAnsiTheme="minorHAnsi" w:cstheme="minorHAnsi"/>
        </w:rPr>
        <w:t xml:space="preserve"> </w:t>
      </w:r>
    </w:p>
    <w:p w14:paraId="29C0A153" w14:textId="67D2D315" w:rsidR="00C56496" w:rsidRPr="004A3DFC" w:rsidRDefault="00C56496" w:rsidP="00C56496">
      <w:pPr>
        <w:tabs>
          <w:tab w:val="left" w:pos="480"/>
          <w:tab w:val="left" w:pos="481"/>
        </w:tabs>
        <w:jc w:val="both"/>
        <w:rPr>
          <w:rFonts w:asciiTheme="minorHAnsi" w:hAnsiTheme="minorHAnsi" w:cstheme="minorHAnsi"/>
        </w:rPr>
      </w:pPr>
      <w:r>
        <w:rPr>
          <w:rFonts w:asciiTheme="minorHAnsi" w:hAnsiTheme="minorHAnsi" w:cstheme="minorHAnsi"/>
        </w:rPr>
        <w:t xml:space="preserve">Management Hypothesis: </w:t>
      </w:r>
      <w:r w:rsidRPr="004A3DFC">
        <w:rPr>
          <w:rFonts w:asciiTheme="minorHAnsi" w:hAnsiTheme="minorHAnsi" w:cstheme="minorHAnsi"/>
        </w:rPr>
        <w:t xml:space="preserve">Releases to achieve a 30-day minimum flow target of 1,500 cfs between June 1 – July 15 in combination with continued herbicide spraying will slow </w:t>
      </w:r>
      <w:r w:rsidRPr="004A3DFC">
        <w:rPr>
          <w:rFonts w:asciiTheme="minorHAnsi" w:hAnsiTheme="minorHAnsi" w:cstheme="minorHAnsi"/>
          <w:i/>
          <w:iCs/>
        </w:rPr>
        <w:t>Phragmites</w:t>
      </w:r>
      <w:r w:rsidRPr="004A3DFC">
        <w:rPr>
          <w:rFonts w:asciiTheme="minorHAnsi" w:hAnsiTheme="minorHAnsi" w:cstheme="minorHAnsi"/>
        </w:rPr>
        <w:t xml:space="preserve"> rhizome/stolon expansion into the channel and increase the percent of AHR channel that remains highly suitable for whooping crane roosting.</w:t>
      </w:r>
    </w:p>
    <w:p w14:paraId="5DF9AD4A" w14:textId="1A2C5E91" w:rsidR="00C56496" w:rsidRDefault="00C56496" w:rsidP="00C56496">
      <w:pPr>
        <w:pStyle w:val="BodyText"/>
        <w:spacing w:before="120"/>
        <w:jc w:val="both"/>
        <w:rPr>
          <w:rFonts w:asciiTheme="minorHAnsi" w:hAnsiTheme="minorHAnsi" w:cstheme="minorHAnsi"/>
        </w:rPr>
      </w:pPr>
      <w:bookmarkStart w:id="1" w:name="_Hlk106099461"/>
      <w:bookmarkEnd w:id="0"/>
      <w:r w:rsidRPr="00EA6F4A">
        <w:rPr>
          <w:rFonts w:asciiTheme="minorHAnsi" w:hAnsiTheme="minorHAnsi" w:cstheme="minorHAnsi"/>
        </w:rPr>
        <w:t>Implementation of germination suppression flow releases to address these questions provides valuable information on the quantity of Program water necessary for effective channel maintenance while providing information on the cost and benefits of a water alternative for maintaining suitable roosting and in-channel foraging habitat for whooping cranes.</w:t>
      </w:r>
      <w:bookmarkEnd w:id="1"/>
    </w:p>
    <w:p w14:paraId="5EA42A46" w14:textId="77777777" w:rsidR="00C56496" w:rsidRDefault="00C56496" w:rsidP="00C56496">
      <w:pPr>
        <w:pStyle w:val="Heading2"/>
        <w:jc w:val="both"/>
        <w:rPr>
          <w:rFonts w:asciiTheme="minorHAnsi" w:hAnsiTheme="minorHAnsi" w:cstheme="minorHAnsi"/>
        </w:rPr>
      </w:pPr>
    </w:p>
    <w:p w14:paraId="4E05BF8A" w14:textId="52502767" w:rsidR="00C56496" w:rsidRPr="00276DC7" w:rsidRDefault="00C56496" w:rsidP="00C56496">
      <w:pPr>
        <w:pStyle w:val="Heading2"/>
        <w:jc w:val="both"/>
        <w:rPr>
          <w:rFonts w:asciiTheme="minorHAnsi" w:hAnsiTheme="minorHAnsi" w:cstheme="minorHAnsi"/>
          <w:color w:val="0070C0"/>
        </w:rPr>
      </w:pPr>
      <w:r w:rsidRPr="00276DC7">
        <w:rPr>
          <w:rFonts w:asciiTheme="minorHAnsi" w:hAnsiTheme="minorHAnsi" w:cstheme="minorHAnsi"/>
          <w:color w:val="0070C0"/>
        </w:rPr>
        <w:t>E</w:t>
      </w:r>
      <w:r w:rsidR="008A3EF2" w:rsidRPr="00276DC7">
        <w:rPr>
          <w:rFonts w:asciiTheme="minorHAnsi" w:hAnsiTheme="minorHAnsi" w:cstheme="minorHAnsi"/>
          <w:color w:val="0070C0"/>
        </w:rPr>
        <w:t>VALUATION OF EFFECTIVENESS</w:t>
      </w:r>
    </w:p>
    <w:p w14:paraId="1F90FC48" w14:textId="4494F6BE" w:rsidR="00A26174" w:rsidRPr="00EA6F4A" w:rsidRDefault="00C56496" w:rsidP="00C56496">
      <w:pPr>
        <w:tabs>
          <w:tab w:val="left" w:pos="495"/>
        </w:tabs>
        <w:spacing w:before="60"/>
        <w:jc w:val="both"/>
        <w:rPr>
          <w:rFonts w:asciiTheme="minorHAnsi" w:hAnsiTheme="minorHAnsi" w:cstheme="minorHAnsi"/>
          <w:bCs/>
        </w:rPr>
      </w:pPr>
      <w:r w:rsidRPr="00EA6F4A">
        <w:rPr>
          <w:rFonts w:asciiTheme="minorHAnsi" w:hAnsiTheme="minorHAnsi" w:cstheme="minorHAnsi"/>
          <w:bCs/>
        </w:rPr>
        <w:t xml:space="preserve">The combination of remote sensed and on the ground field measurements enables us to quantify the amount of spatial and temporal water coverage achieved during the flow release, quantify vegetation response to inundation, and estimate subsequent unobstructed channel widths to evaluate the effectiveness of using Program water to maintain wide, </w:t>
      </w:r>
      <w:r>
        <w:rPr>
          <w:rFonts w:asciiTheme="minorHAnsi" w:hAnsiTheme="minorHAnsi" w:cstheme="minorHAnsi"/>
          <w:bCs/>
        </w:rPr>
        <w:t>unobstructed</w:t>
      </w:r>
      <w:r w:rsidRPr="00EA6F4A">
        <w:rPr>
          <w:rFonts w:asciiTheme="minorHAnsi" w:hAnsiTheme="minorHAnsi" w:cstheme="minorHAnsi"/>
          <w:bCs/>
        </w:rPr>
        <w:t xml:space="preserve"> channels for whooping crane roosting.</w:t>
      </w:r>
    </w:p>
    <w:p w14:paraId="3119F42A" w14:textId="77777777" w:rsidR="008A3EF2" w:rsidRDefault="008A3EF2"/>
    <w:p w14:paraId="0A81EE21" w14:textId="24D2C607" w:rsidR="00C56496" w:rsidRDefault="008A3EF2">
      <w:pPr>
        <w:rPr>
          <w:b/>
          <w:bCs/>
        </w:rPr>
      </w:pPr>
      <w:r>
        <w:rPr>
          <w:b/>
          <w:bCs/>
        </w:rPr>
        <w:t>Machine Learning Model</w:t>
      </w:r>
    </w:p>
    <w:p w14:paraId="0592D8A5" w14:textId="1B01DF63" w:rsidR="005B2AA7" w:rsidRDefault="008A3EF2" w:rsidP="008A3EF2">
      <w:pPr>
        <w:contextualSpacing/>
        <w:jc w:val="both"/>
        <w:rPr>
          <w:rFonts w:asciiTheme="minorHAnsi" w:hAnsiTheme="minorHAnsi" w:cstheme="minorHAnsi"/>
        </w:rPr>
      </w:pPr>
      <w:r w:rsidRPr="008A3EF2">
        <w:t xml:space="preserve">The primary tool for evaluation of effectiveness is a random forest model </w:t>
      </w:r>
      <w:r w:rsidRPr="00EA6F4A">
        <w:rPr>
          <w:rFonts w:asciiTheme="minorHAnsi" w:hAnsiTheme="minorHAnsi" w:cstheme="minorHAnsi"/>
        </w:rPr>
        <w:t xml:space="preserve">developed to utilize historical information gathered for the central Platte about how natural peak flows </w:t>
      </w:r>
      <w:r>
        <w:rPr>
          <w:rFonts w:asciiTheme="minorHAnsi" w:hAnsiTheme="minorHAnsi" w:cstheme="minorHAnsi"/>
        </w:rPr>
        <w:t xml:space="preserve">and flows during the early growing season (germination period) interact </w:t>
      </w:r>
      <w:r w:rsidRPr="00EA6F4A">
        <w:rPr>
          <w:rFonts w:asciiTheme="minorHAnsi" w:hAnsiTheme="minorHAnsi" w:cstheme="minorHAnsi"/>
        </w:rPr>
        <w:t xml:space="preserve">with channel geomorphology over time to affect </w:t>
      </w:r>
      <w:r w:rsidRPr="00EA6F4A">
        <w:rPr>
          <w:rFonts w:asciiTheme="minorHAnsi" w:hAnsiTheme="minorHAnsi" w:cstheme="minorHAnsi"/>
        </w:rPr>
        <w:lastRenderedPageBreak/>
        <w:t xml:space="preserve">unobstructed channel width. The model also accounts for mechanical management such as river channel disking and herbicide application to predict </w:t>
      </w:r>
      <w:r>
        <w:rPr>
          <w:rFonts w:asciiTheme="minorHAnsi" w:hAnsiTheme="minorHAnsi" w:cstheme="minorHAnsi"/>
        </w:rPr>
        <w:t>the effectiveness of germination suppression flows to maintain highly suitable unobstructed channels widths for whooping cranes</w:t>
      </w:r>
      <w:r w:rsidR="00B853BF">
        <w:rPr>
          <w:rFonts w:asciiTheme="minorHAnsi" w:hAnsiTheme="minorHAnsi" w:cstheme="minorHAnsi"/>
        </w:rPr>
        <w:t xml:space="preserve"> </w:t>
      </w:r>
      <w:r>
        <w:rPr>
          <w:rFonts w:asciiTheme="minorHAnsi" w:hAnsiTheme="minorHAnsi" w:cstheme="minorHAnsi"/>
        </w:rPr>
        <w:t>(</w:t>
      </w:r>
      <w:r w:rsidRPr="005E1DEA">
        <w:rPr>
          <w:rFonts w:asciiTheme="minorHAnsi" w:hAnsiTheme="minorHAnsi" w:cstheme="minorHAnsi"/>
          <w:b/>
          <w:bCs/>
        </w:rPr>
        <w:t xml:space="preserve">Table </w:t>
      </w:r>
      <w:r w:rsidR="004D28F8" w:rsidRPr="005E1DEA">
        <w:rPr>
          <w:rFonts w:asciiTheme="minorHAnsi" w:hAnsiTheme="minorHAnsi" w:cstheme="minorHAnsi"/>
          <w:b/>
          <w:bCs/>
        </w:rPr>
        <w:t>1</w:t>
      </w:r>
      <w:r>
        <w:rPr>
          <w:rFonts w:asciiTheme="minorHAnsi" w:hAnsiTheme="minorHAnsi" w:cstheme="minorHAnsi"/>
        </w:rPr>
        <w:t xml:space="preserve">). </w:t>
      </w:r>
    </w:p>
    <w:p w14:paraId="0FEB9CC4" w14:textId="77777777" w:rsidR="00BB0511" w:rsidRDefault="00BB0511" w:rsidP="00B853BF">
      <w:pPr>
        <w:contextualSpacing/>
        <w:jc w:val="both"/>
        <w:rPr>
          <w:rFonts w:asciiTheme="minorHAnsi" w:hAnsiTheme="minorHAnsi" w:cstheme="minorHAnsi"/>
        </w:rPr>
      </w:pPr>
    </w:p>
    <w:p w14:paraId="0C521BD7" w14:textId="4EF94BDA" w:rsidR="00BB0511" w:rsidRDefault="00BB0511" w:rsidP="00B853BF">
      <w:pPr>
        <w:contextualSpacing/>
        <w:jc w:val="both"/>
        <w:rPr>
          <w:rFonts w:asciiTheme="minorHAnsi" w:hAnsiTheme="minorHAnsi" w:cstheme="minorHAnsi"/>
        </w:rPr>
      </w:pPr>
      <w:r>
        <w:rPr>
          <w:rFonts w:asciiTheme="minorHAnsi" w:hAnsiTheme="minorHAnsi" w:cstheme="minorHAnsi"/>
        </w:rPr>
        <w:t xml:space="preserve">The </w:t>
      </w:r>
      <w:r w:rsidR="000872EE">
        <w:rPr>
          <w:rFonts w:asciiTheme="minorHAnsi" w:hAnsiTheme="minorHAnsi" w:cstheme="minorHAnsi"/>
        </w:rPr>
        <w:t xml:space="preserve">four </w:t>
      </w:r>
      <w:r w:rsidR="00A26174">
        <w:rPr>
          <w:rFonts w:asciiTheme="minorHAnsi" w:hAnsiTheme="minorHAnsi" w:cstheme="minorHAnsi"/>
        </w:rPr>
        <w:t>explanatory</w:t>
      </w:r>
      <w:r>
        <w:rPr>
          <w:rFonts w:asciiTheme="minorHAnsi" w:hAnsiTheme="minorHAnsi" w:cstheme="minorHAnsi"/>
        </w:rPr>
        <w:t xml:space="preserve"> variables most </w:t>
      </w:r>
      <w:r w:rsidR="00697972">
        <w:rPr>
          <w:rFonts w:asciiTheme="minorHAnsi" w:hAnsiTheme="minorHAnsi" w:cstheme="minorHAnsi"/>
        </w:rPr>
        <w:t xml:space="preserve">crucial </w:t>
      </w:r>
      <w:r>
        <w:rPr>
          <w:rFonts w:asciiTheme="minorHAnsi" w:hAnsiTheme="minorHAnsi" w:cstheme="minorHAnsi"/>
        </w:rPr>
        <w:t xml:space="preserve">to </w:t>
      </w:r>
      <w:r w:rsidR="00697972">
        <w:rPr>
          <w:rFonts w:asciiTheme="minorHAnsi" w:hAnsiTheme="minorHAnsi" w:cstheme="minorHAnsi"/>
        </w:rPr>
        <w:t>quantify</w:t>
      </w:r>
      <w:r>
        <w:rPr>
          <w:rFonts w:asciiTheme="minorHAnsi" w:hAnsiTheme="minorHAnsi" w:cstheme="minorHAnsi"/>
        </w:rPr>
        <w:t xml:space="preserve"> </w:t>
      </w:r>
      <w:r w:rsidR="00A26174">
        <w:rPr>
          <w:rFonts w:asciiTheme="minorHAnsi" w:hAnsiTheme="minorHAnsi" w:cstheme="minorHAnsi"/>
        </w:rPr>
        <w:t xml:space="preserve">the </w:t>
      </w:r>
      <w:r>
        <w:rPr>
          <w:rFonts w:asciiTheme="minorHAnsi" w:hAnsiTheme="minorHAnsi" w:cstheme="minorHAnsi"/>
        </w:rPr>
        <w:t>effectiveness of germination suppression</w:t>
      </w:r>
      <w:r w:rsidR="00876596">
        <w:rPr>
          <w:rFonts w:asciiTheme="minorHAnsi" w:hAnsiTheme="minorHAnsi" w:cstheme="minorHAnsi"/>
        </w:rPr>
        <w:t xml:space="preserve"> flows</w:t>
      </w:r>
      <w:r>
        <w:rPr>
          <w:rFonts w:asciiTheme="minorHAnsi" w:hAnsiTheme="minorHAnsi" w:cstheme="minorHAnsi"/>
        </w:rPr>
        <w:t xml:space="preserve"> include:</w:t>
      </w:r>
    </w:p>
    <w:p w14:paraId="16108DB7" w14:textId="18818BA5" w:rsidR="00BB0511" w:rsidRPr="00BB0511" w:rsidRDefault="00BB0511" w:rsidP="00A26174">
      <w:pPr>
        <w:pStyle w:val="ListParagraph"/>
        <w:numPr>
          <w:ilvl w:val="0"/>
          <w:numId w:val="3"/>
        </w:numPr>
        <w:contextualSpacing/>
        <w:jc w:val="both"/>
        <w:rPr>
          <w:rFonts w:asciiTheme="minorHAnsi" w:hAnsiTheme="minorHAnsi" w:cstheme="minorHAnsi"/>
        </w:rPr>
      </w:pPr>
      <w:r w:rsidRPr="00BB0511">
        <w:rPr>
          <w:rFonts w:asciiTheme="minorHAnsi" w:hAnsiTheme="minorHAnsi" w:cstheme="minorHAnsi"/>
          <w:i/>
          <w:iCs/>
        </w:rPr>
        <w:t>Previous year maximum unobstructed channel width</w:t>
      </w:r>
      <w:r>
        <w:rPr>
          <w:rFonts w:asciiTheme="minorHAnsi" w:hAnsiTheme="minorHAnsi" w:cstheme="minorHAnsi"/>
        </w:rPr>
        <w:t>: Provides an annual starting point of channel conditions</w:t>
      </w:r>
      <w:r w:rsidR="00E11C72">
        <w:rPr>
          <w:rFonts w:asciiTheme="minorHAnsi" w:hAnsiTheme="minorHAnsi" w:cstheme="minorHAnsi"/>
        </w:rPr>
        <w:t>;</w:t>
      </w:r>
    </w:p>
    <w:p w14:paraId="54EE3A07" w14:textId="6783C9D5" w:rsidR="00BB0511" w:rsidRDefault="005B2AA7" w:rsidP="00A26174">
      <w:pPr>
        <w:pStyle w:val="ListParagraph"/>
        <w:numPr>
          <w:ilvl w:val="0"/>
          <w:numId w:val="3"/>
        </w:numPr>
        <w:contextualSpacing/>
        <w:jc w:val="both"/>
        <w:rPr>
          <w:rFonts w:asciiTheme="minorHAnsi" w:hAnsiTheme="minorHAnsi" w:cstheme="minorHAnsi"/>
        </w:rPr>
      </w:pPr>
      <w:r w:rsidRPr="00BB0511">
        <w:rPr>
          <w:rFonts w:asciiTheme="minorHAnsi" w:hAnsiTheme="minorHAnsi" w:cstheme="minorHAnsi"/>
          <w:i/>
          <w:iCs/>
        </w:rPr>
        <w:t>June average flows</w:t>
      </w:r>
      <w:r w:rsidR="00BB0511">
        <w:rPr>
          <w:rFonts w:asciiTheme="minorHAnsi" w:hAnsiTheme="minorHAnsi" w:cstheme="minorHAnsi"/>
        </w:rPr>
        <w:t>:</w:t>
      </w:r>
      <w:r>
        <w:rPr>
          <w:rFonts w:asciiTheme="minorHAnsi" w:hAnsiTheme="minorHAnsi" w:cstheme="minorHAnsi"/>
        </w:rPr>
        <w:t xml:space="preserve"> </w:t>
      </w:r>
      <w:r w:rsidR="00BB0511">
        <w:rPr>
          <w:rFonts w:asciiTheme="minorHAnsi" w:hAnsiTheme="minorHAnsi" w:cstheme="minorHAnsi"/>
        </w:rPr>
        <w:t>C</w:t>
      </w:r>
      <w:r>
        <w:rPr>
          <w:rFonts w:asciiTheme="minorHAnsi" w:hAnsiTheme="minorHAnsi" w:cstheme="minorHAnsi"/>
        </w:rPr>
        <w:t>apture</w:t>
      </w:r>
      <w:r w:rsidR="00BB0511">
        <w:rPr>
          <w:rFonts w:asciiTheme="minorHAnsi" w:hAnsiTheme="minorHAnsi" w:cstheme="minorHAnsi"/>
        </w:rPr>
        <w:t>s the</w:t>
      </w:r>
      <w:r>
        <w:rPr>
          <w:rFonts w:asciiTheme="minorHAnsi" w:hAnsiTheme="minorHAnsi" w:cstheme="minorHAnsi"/>
        </w:rPr>
        <w:t xml:space="preserve"> period of germination suppression releases, as well as peak flow events in most years</w:t>
      </w:r>
      <w:r w:rsidR="0028135B">
        <w:rPr>
          <w:rFonts w:asciiTheme="minorHAnsi" w:hAnsiTheme="minorHAnsi" w:cstheme="minorHAnsi"/>
        </w:rPr>
        <w:t>;</w:t>
      </w:r>
    </w:p>
    <w:p w14:paraId="61615825" w14:textId="0C0A981B" w:rsidR="00A26174" w:rsidRPr="00A26174" w:rsidRDefault="00B853BF" w:rsidP="00A26174">
      <w:pPr>
        <w:pStyle w:val="ListParagraph"/>
        <w:numPr>
          <w:ilvl w:val="0"/>
          <w:numId w:val="3"/>
        </w:numPr>
        <w:contextualSpacing/>
        <w:jc w:val="both"/>
        <w:rPr>
          <w:rFonts w:asciiTheme="minorHAnsi" w:hAnsiTheme="minorHAnsi" w:cstheme="minorHAnsi"/>
        </w:rPr>
      </w:pPr>
      <w:r w:rsidRPr="00BB0511">
        <w:rPr>
          <w:rFonts w:asciiTheme="minorHAnsi" w:hAnsiTheme="minorHAnsi" w:cstheme="minorHAnsi"/>
          <w:i/>
          <w:iCs/>
        </w:rPr>
        <w:t>Wetted width at bankfull discharge</w:t>
      </w:r>
      <w:r w:rsidR="00BB0511">
        <w:rPr>
          <w:rFonts w:asciiTheme="minorHAnsi" w:hAnsiTheme="minorHAnsi" w:cstheme="minorHAnsi"/>
        </w:rPr>
        <w:t>:</w:t>
      </w:r>
      <w:r>
        <w:rPr>
          <w:rFonts w:asciiTheme="minorHAnsi" w:hAnsiTheme="minorHAnsi" w:cstheme="minorHAnsi"/>
        </w:rPr>
        <w:t xml:space="preserve"> </w:t>
      </w:r>
      <w:r w:rsidR="00BB0511">
        <w:rPr>
          <w:rFonts w:asciiTheme="minorHAnsi" w:hAnsiTheme="minorHAnsi" w:cstheme="minorHAnsi"/>
        </w:rPr>
        <w:t>The</w:t>
      </w:r>
      <w:r>
        <w:rPr>
          <w:rFonts w:asciiTheme="minorHAnsi" w:hAnsiTheme="minorHAnsi" w:cstheme="minorHAnsi"/>
        </w:rPr>
        <w:t xml:space="preserve"> extent of a channel potentially inundated with water</w:t>
      </w:r>
      <w:r w:rsidR="00BB0511">
        <w:rPr>
          <w:rFonts w:asciiTheme="minorHAnsi" w:hAnsiTheme="minorHAnsi" w:cstheme="minorHAnsi"/>
        </w:rPr>
        <w:t>.</w:t>
      </w:r>
    </w:p>
    <w:p w14:paraId="12EEC761" w14:textId="4C149802" w:rsidR="005B2AA7" w:rsidRDefault="00B853BF" w:rsidP="00A26174">
      <w:pPr>
        <w:pStyle w:val="ListParagraph"/>
        <w:numPr>
          <w:ilvl w:val="0"/>
          <w:numId w:val="3"/>
        </w:numPr>
        <w:contextualSpacing/>
        <w:jc w:val="both"/>
        <w:rPr>
          <w:rFonts w:asciiTheme="minorHAnsi" w:hAnsiTheme="minorHAnsi" w:cstheme="minorHAnsi"/>
        </w:rPr>
      </w:pPr>
      <w:r w:rsidRPr="00A26174">
        <w:rPr>
          <w:rFonts w:asciiTheme="minorHAnsi" w:hAnsiTheme="minorHAnsi" w:cstheme="minorHAnsi"/>
          <w:i/>
          <w:iCs/>
        </w:rPr>
        <w:t>Flow consolidation</w:t>
      </w:r>
      <w:r w:rsidR="00BB0511" w:rsidRPr="00A26174">
        <w:rPr>
          <w:rFonts w:asciiTheme="minorHAnsi" w:hAnsiTheme="minorHAnsi" w:cstheme="minorHAnsi"/>
        </w:rPr>
        <w:t>:</w:t>
      </w:r>
      <w:r w:rsidRPr="00A26174">
        <w:rPr>
          <w:rFonts w:asciiTheme="minorHAnsi" w:hAnsiTheme="minorHAnsi" w:cstheme="minorHAnsi"/>
        </w:rPr>
        <w:t xml:space="preserve"> </w:t>
      </w:r>
      <w:r w:rsidR="00BB0511" w:rsidRPr="00A26174">
        <w:rPr>
          <w:rFonts w:asciiTheme="minorHAnsi" w:hAnsiTheme="minorHAnsi" w:cstheme="minorHAnsi"/>
        </w:rPr>
        <w:t xml:space="preserve">Estimate how much flow during June is traveling through a channel. </w:t>
      </w:r>
    </w:p>
    <w:p w14:paraId="08C21046" w14:textId="2515C72B" w:rsidR="00813B4E" w:rsidRDefault="00813B4E" w:rsidP="00A26174">
      <w:pPr>
        <w:pStyle w:val="ListParagraph"/>
        <w:numPr>
          <w:ilvl w:val="0"/>
          <w:numId w:val="3"/>
        </w:numPr>
        <w:contextualSpacing/>
        <w:jc w:val="both"/>
        <w:rPr>
          <w:rFonts w:asciiTheme="minorHAnsi" w:hAnsiTheme="minorHAnsi" w:cstheme="minorHAnsi"/>
        </w:rPr>
      </w:pPr>
      <w:r>
        <w:rPr>
          <w:rFonts w:asciiTheme="minorHAnsi" w:hAnsiTheme="minorHAnsi" w:cstheme="minorHAnsi"/>
          <w:i/>
          <w:iCs/>
        </w:rPr>
        <w:t>Winter flows</w:t>
      </w:r>
      <w:r w:rsidRPr="00813B4E">
        <w:rPr>
          <w:rFonts w:asciiTheme="minorHAnsi" w:hAnsiTheme="minorHAnsi" w:cstheme="minorHAnsi"/>
        </w:rPr>
        <w:t>:</w:t>
      </w:r>
      <w:r>
        <w:rPr>
          <w:rFonts w:asciiTheme="minorHAnsi" w:hAnsiTheme="minorHAnsi" w:cstheme="minorHAnsi"/>
        </w:rPr>
        <w:t xml:space="preserve"> Emerging as a potential hydrologic metric of interest.</w:t>
      </w:r>
    </w:p>
    <w:p w14:paraId="7AC5DF98" w14:textId="77777777" w:rsidR="00A26174" w:rsidRPr="00A26174" w:rsidRDefault="00A26174" w:rsidP="00A26174">
      <w:pPr>
        <w:contextualSpacing/>
        <w:jc w:val="both"/>
        <w:rPr>
          <w:rFonts w:asciiTheme="minorHAnsi" w:hAnsiTheme="minorHAnsi" w:cstheme="minorHAnsi"/>
        </w:rPr>
      </w:pPr>
    </w:p>
    <w:p w14:paraId="4627E630" w14:textId="20456A69" w:rsidR="005B2AA7" w:rsidRPr="00A26174" w:rsidRDefault="00876596" w:rsidP="008A3EF2">
      <w:pPr>
        <w:contextualSpacing/>
        <w:jc w:val="both"/>
        <w:rPr>
          <w:rFonts w:asciiTheme="minorHAnsi" w:hAnsiTheme="minorHAnsi" w:cstheme="minorHAnsi"/>
        </w:rPr>
      </w:pPr>
      <w:r w:rsidRPr="00876596">
        <w:rPr>
          <w:rFonts w:asciiTheme="minorHAnsi" w:hAnsiTheme="minorHAnsi" w:cstheme="minorHAnsi"/>
        </w:rPr>
        <w:t>These four variables, along with the additional explanatory variables</w:t>
      </w:r>
      <w:r w:rsidR="009C4838">
        <w:rPr>
          <w:rFonts w:asciiTheme="minorHAnsi" w:hAnsiTheme="minorHAnsi" w:cstheme="minorHAnsi"/>
        </w:rPr>
        <w:t xml:space="preserve"> in </w:t>
      </w:r>
      <w:r w:rsidR="009C4838" w:rsidRPr="005E1DEA">
        <w:rPr>
          <w:rFonts w:asciiTheme="minorHAnsi" w:hAnsiTheme="minorHAnsi" w:cstheme="minorHAnsi"/>
          <w:b/>
          <w:bCs/>
        </w:rPr>
        <w:t>Table 1</w:t>
      </w:r>
      <w:r w:rsidRPr="00876596">
        <w:rPr>
          <w:rFonts w:asciiTheme="minorHAnsi" w:hAnsiTheme="minorHAnsi" w:cstheme="minorHAnsi"/>
        </w:rPr>
        <w:t>, will be included in a</w:t>
      </w:r>
      <w:r w:rsidR="008A3EF2" w:rsidRPr="00876596">
        <w:rPr>
          <w:rFonts w:asciiTheme="minorHAnsi" w:hAnsiTheme="minorHAnsi" w:cstheme="minorHAnsi"/>
        </w:rPr>
        <w:t xml:space="preserve"> </w:t>
      </w:r>
      <w:r w:rsidR="008A3EF2" w:rsidRPr="00A26174">
        <w:rPr>
          <w:rFonts w:asciiTheme="minorHAnsi" w:hAnsiTheme="minorHAnsi" w:cstheme="minorHAnsi"/>
        </w:rPr>
        <w:t xml:space="preserve">modeling process </w:t>
      </w:r>
      <w:r w:rsidRPr="00A26174">
        <w:rPr>
          <w:rFonts w:asciiTheme="minorHAnsi" w:hAnsiTheme="minorHAnsi" w:cstheme="minorHAnsi"/>
        </w:rPr>
        <w:t xml:space="preserve">consisting </w:t>
      </w:r>
      <w:r w:rsidR="008A3EF2" w:rsidRPr="00A26174">
        <w:rPr>
          <w:rFonts w:asciiTheme="minorHAnsi" w:hAnsiTheme="minorHAnsi" w:cstheme="minorHAnsi"/>
        </w:rPr>
        <w:t xml:space="preserve">of </w:t>
      </w:r>
      <w:r w:rsidR="009C4838">
        <w:rPr>
          <w:rFonts w:asciiTheme="minorHAnsi" w:hAnsiTheme="minorHAnsi" w:cstheme="minorHAnsi"/>
        </w:rPr>
        <w:t>three</w:t>
      </w:r>
      <w:r w:rsidR="009C4838" w:rsidRPr="00A26174">
        <w:rPr>
          <w:rFonts w:asciiTheme="minorHAnsi" w:hAnsiTheme="minorHAnsi" w:cstheme="minorHAnsi"/>
        </w:rPr>
        <w:t xml:space="preserve"> </w:t>
      </w:r>
      <w:r w:rsidR="008A3EF2" w:rsidRPr="00A26174">
        <w:rPr>
          <w:rFonts w:asciiTheme="minorHAnsi" w:hAnsiTheme="minorHAnsi" w:cstheme="minorHAnsi"/>
        </w:rPr>
        <w:t xml:space="preserve">steps. </w:t>
      </w:r>
    </w:p>
    <w:p w14:paraId="38FB0947" w14:textId="77777777" w:rsidR="005B2AA7" w:rsidRPr="00A26174" w:rsidRDefault="005B2AA7" w:rsidP="008A3EF2">
      <w:pPr>
        <w:contextualSpacing/>
        <w:jc w:val="both"/>
        <w:rPr>
          <w:rFonts w:asciiTheme="minorHAnsi" w:hAnsiTheme="minorHAnsi" w:cstheme="minorHAnsi"/>
        </w:rPr>
      </w:pPr>
    </w:p>
    <w:p w14:paraId="601FE8E7" w14:textId="447B6EA2" w:rsidR="005B2AA7" w:rsidRPr="00A26174" w:rsidRDefault="008A3EF2" w:rsidP="008A3EF2">
      <w:pPr>
        <w:contextualSpacing/>
        <w:jc w:val="both"/>
        <w:rPr>
          <w:rFonts w:asciiTheme="minorHAnsi" w:hAnsiTheme="minorHAnsi" w:cstheme="minorHAnsi"/>
        </w:rPr>
      </w:pPr>
      <w:r w:rsidRPr="00A26174">
        <w:rPr>
          <w:rFonts w:asciiTheme="minorHAnsi" w:hAnsiTheme="minorHAnsi" w:cstheme="minorHAnsi"/>
        </w:rPr>
        <w:t xml:space="preserve">Step </w:t>
      </w:r>
      <w:r w:rsidR="00876596">
        <w:rPr>
          <w:rFonts w:asciiTheme="minorHAnsi" w:hAnsiTheme="minorHAnsi" w:cstheme="minorHAnsi"/>
        </w:rPr>
        <w:t>One</w:t>
      </w:r>
      <w:r w:rsidR="00E11C72">
        <w:rPr>
          <w:rFonts w:asciiTheme="minorHAnsi" w:hAnsiTheme="minorHAnsi" w:cstheme="minorHAnsi"/>
        </w:rPr>
        <w:t>:</w:t>
      </w:r>
    </w:p>
    <w:p w14:paraId="7C91C3FC" w14:textId="77777777" w:rsidR="001C581F" w:rsidRPr="00256144" w:rsidRDefault="005B2AA7" w:rsidP="00256144">
      <w:pPr>
        <w:pStyle w:val="ListParagraph"/>
        <w:numPr>
          <w:ilvl w:val="0"/>
          <w:numId w:val="9"/>
        </w:numPr>
        <w:contextualSpacing/>
        <w:jc w:val="both"/>
        <w:rPr>
          <w:rFonts w:asciiTheme="minorHAnsi" w:hAnsiTheme="minorHAnsi" w:cstheme="minorHAnsi"/>
        </w:rPr>
      </w:pPr>
      <w:r w:rsidRPr="00256144">
        <w:rPr>
          <w:rFonts w:asciiTheme="minorHAnsi" w:hAnsiTheme="minorHAnsi" w:cstheme="minorHAnsi"/>
        </w:rPr>
        <w:t>Use</w:t>
      </w:r>
      <w:r w:rsidR="008A3EF2" w:rsidRPr="00256144">
        <w:rPr>
          <w:rFonts w:asciiTheme="minorHAnsi" w:hAnsiTheme="minorHAnsi" w:cstheme="minorHAnsi"/>
        </w:rPr>
        <w:t xml:space="preserve"> data from 2004 – 2019 to train the model</w:t>
      </w:r>
      <w:r w:rsidR="001C581F" w:rsidRPr="00256144">
        <w:rPr>
          <w:rFonts w:asciiTheme="minorHAnsi" w:hAnsiTheme="minorHAnsi" w:cstheme="minorHAnsi"/>
        </w:rPr>
        <w:t>.</w:t>
      </w:r>
    </w:p>
    <w:p w14:paraId="21B073AB" w14:textId="77777777" w:rsidR="001C581F" w:rsidRDefault="001C581F" w:rsidP="00256144">
      <w:pPr>
        <w:pStyle w:val="ListParagraph"/>
        <w:numPr>
          <w:ilvl w:val="0"/>
          <w:numId w:val="9"/>
        </w:numPr>
        <w:contextualSpacing/>
        <w:jc w:val="both"/>
        <w:rPr>
          <w:rFonts w:asciiTheme="minorHAnsi" w:hAnsiTheme="minorHAnsi" w:cstheme="minorHAnsi"/>
        </w:rPr>
      </w:pPr>
      <w:r>
        <w:rPr>
          <w:rFonts w:asciiTheme="minorHAnsi" w:hAnsiTheme="minorHAnsi" w:cstheme="minorHAnsi"/>
        </w:rPr>
        <w:t>Validate model by leaving out 20% of data in each geomorphic reach.</w:t>
      </w:r>
      <w:r w:rsidR="008A3EF2" w:rsidRPr="00A26174">
        <w:rPr>
          <w:rFonts w:asciiTheme="minorHAnsi" w:hAnsiTheme="minorHAnsi" w:cstheme="minorHAnsi"/>
        </w:rPr>
        <w:t xml:space="preserve"> </w:t>
      </w:r>
    </w:p>
    <w:p w14:paraId="1D964C44" w14:textId="2241975B" w:rsidR="001C581F" w:rsidRPr="001C581F" w:rsidRDefault="001C581F" w:rsidP="00256144">
      <w:pPr>
        <w:pStyle w:val="ListParagraph"/>
        <w:numPr>
          <w:ilvl w:val="0"/>
          <w:numId w:val="9"/>
        </w:numPr>
        <w:contextualSpacing/>
        <w:jc w:val="both"/>
        <w:rPr>
          <w:rFonts w:asciiTheme="minorHAnsi" w:hAnsiTheme="minorHAnsi" w:cstheme="minorHAnsi"/>
        </w:rPr>
      </w:pPr>
      <w:r>
        <w:rPr>
          <w:rFonts w:asciiTheme="minorHAnsi" w:hAnsiTheme="minorHAnsi" w:cstheme="minorHAnsi"/>
        </w:rPr>
        <w:t xml:space="preserve">Predict </w:t>
      </w:r>
      <w:r w:rsidR="008A3EF2" w:rsidRPr="00A26174">
        <w:rPr>
          <w:rFonts w:asciiTheme="minorHAnsi" w:hAnsiTheme="minorHAnsi" w:cstheme="minorHAnsi"/>
        </w:rPr>
        <w:t xml:space="preserve">changes in channel width during the period of </w:t>
      </w:r>
      <w:r w:rsidR="007B1479" w:rsidRPr="00A26174">
        <w:rPr>
          <w:rFonts w:asciiTheme="minorHAnsi" w:hAnsiTheme="minorHAnsi" w:cstheme="minorHAnsi"/>
        </w:rPr>
        <w:t xml:space="preserve">implementation of </w:t>
      </w:r>
      <w:r w:rsidR="008A3EF2" w:rsidRPr="00A26174">
        <w:rPr>
          <w:rFonts w:asciiTheme="minorHAnsi" w:hAnsiTheme="minorHAnsi" w:cstheme="minorHAnsi"/>
        </w:rPr>
        <w:t>germination suppression flows (2020-2023)</w:t>
      </w:r>
      <w:r w:rsidR="005B2AA7" w:rsidRPr="00A26174">
        <w:rPr>
          <w:rFonts w:asciiTheme="minorHAnsi" w:hAnsiTheme="minorHAnsi" w:cstheme="minorHAnsi"/>
        </w:rPr>
        <w:t xml:space="preserve"> </w:t>
      </w:r>
      <w:r w:rsidR="008A3EF2" w:rsidRPr="00A26174">
        <w:rPr>
          <w:rFonts w:asciiTheme="minorHAnsi" w:hAnsiTheme="minorHAnsi" w:cstheme="minorHAnsi"/>
        </w:rPr>
        <w:t>to understand how well flow releases for germination suppression mimic natural flows of a similar magnitude to maintain highly suitable unobstructed channel widths for whooping cranes</w:t>
      </w:r>
      <w:r w:rsidR="007B1479" w:rsidRPr="00A26174">
        <w:rPr>
          <w:rFonts w:asciiTheme="minorHAnsi" w:hAnsiTheme="minorHAnsi" w:cstheme="minorHAnsi"/>
        </w:rPr>
        <w:t xml:space="preserve"> (</w:t>
      </w:r>
      <w:r w:rsidR="007B1479" w:rsidRPr="00A26174">
        <w:rPr>
          <w:rFonts w:asciiTheme="minorHAnsi" w:hAnsiTheme="minorHAnsi" w:cstheme="minorHAnsi"/>
          <w:b/>
          <w:bCs/>
        </w:rPr>
        <w:t xml:space="preserve">Figure </w:t>
      </w:r>
      <w:r w:rsidR="005E1DEA">
        <w:rPr>
          <w:rFonts w:asciiTheme="minorHAnsi" w:hAnsiTheme="minorHAnsi" w:cstheme="minorHAnsi"/>
          <w:b/>
          <w:bCs/>
        </w:rPr>
        <w:t>1</w:t>
      </w:r>
      <w:r w:rsidR="007B1479" w:rsidRPr="00A26174">
        <w:rPr>
          <w:rFonts w:asciiTheme="minorHAnsi" w:hAnsiTheme="minorHAnsi" w:cstheme="minorHAnsi"/>
        </w:rPr>
        <w:t>)</w:t>
      </w:r>
      <w:r w:rsidR="005E1DEA">
        <w:rPr>
          <w:rFonts w:asciiTheme="minorHAnsi" w:hAnsiTheme="minorHAnsi" w:cstheme="minorHAnsi"/>
        </w:rPr>
        <w:t>.</w:t>
      </w:r>
    </w:p>
    <w:p w14:paraId="2C54F16F" w14:textId="77777777" w:rsidR="001C581F" w:rsidRPr="00876596" w:rsidRDefault="001C581F" w:rsidP="001C581F">
      <w:pPr>
        <w:pStyle w:val="ListParagraph"/>
        <w:ind w:left="720" w:firstLine="0"/>
        <w:contextualSpacing/>
        <w:jc w:val="both"/>
        <w:rPr>
          <w:rFonts w:asciiTheme="minorHAnsi" w:hAnsiTheme="minorHAnsi" w:cstheme="minorHAnsi"/>
        </w:rPr>
      </w:pPr>
    </w:p>
    <w:p w14:paraId="61BA8265" w14:textId="6AA49AC7" w:rsidR="005B2AA7" w:rsidRPr="00876596" w:rsidRDefault="005B2AA7" w:rsidP="005B2AA7">
      <w:pPr>
        <w:contextualSpacing/>
        <w:jc w:val="both"/>
        <w:rPr>
          <w:rFonts w:asciiTheme="minorHAnsi" w:hAnsiTheme="minorHAnsi" w:cstheme="minorHAnsi"/>
        </w:rPr>
      </w:pPr>
      <w:r w:rsidRPr="00876596">
        <w:rPr>
          <w:rFonts w:asciiTheme="minorHAnsi" w:hAnsiTheme="minorHAnsi" w:cstheme="minorHAnsi"/>
        </w:rPr>
        <w:t xml:space="preserve">Step </w:t>
      </w:r>
      <w:r w:rsidR="00876596">
        <w:rPr>
          <w:rFonts w:asciiTheme="minorHAnsi" w:hAnsiTheme="minorHAnsi" w:cstheme="minorHAnsi"/>
        </w:rPr>
        <w:t>Two</w:t>
      </w:r>
      <w:r w:rsidR="00E11C72">
        <w:rPr>
          <w:rFonts w:asciiTheme="minorHAnsi" w:hAnsiTheme="minorHAnsi" w:cstheme="minorHAnsi"/>
        </w:rPr>
        <w:t>:</w:t>
      </w:r>
    </w:p>
    <w:p w14:paraId="671DCEF4" w14:textId="3D72CBE4" w:rsidR="001C581F" w:rsidRPr="00256144" w:rsidRDefault="005B2AA7" w:rsidP="00256144">
      <w:pPr>
        <w:pStyle w:val="ListParagraph"/>
        <w:numPr>
          <w:ilvl w:val="0"/>
          <w:numId w:val="10"/>
        </w:numPr>
        <w:ind w:left="720"/>
        <w:contextualSpacing/>
        <w:jc w:val="both"/>
        <w:rPr>
          <w:rFonts w:asciiTheme="minorHAnsi" w:hAnsiTheme="minorHAnsi" w:cstheme="minorHAnsi"/>
        </w:rPr>
      </w:pPr>
      <w:r w:rsidRPr="00256144">
        <w:rPr>
          <w:rFonts w:asciiTheme="minorHAnsi" w:hAnsiTheme="minorHAnsi" w:cstheme="minorHAnsi"/>
        </w:rPr>
        <w:t>Directly</w:t>
      </w:r>
      <w:r w:rsidR="008A3EF2" w:rsidRPr="00256144">
        <w:rPr>
          <w:rFonts w:asciiTheme="minorHAnsi" w:hAnsiTheme="minorHAnsi" w:cstheme="minorHAnsi"/>
        </w:rPr>
        <w:t xml:space="preserve"> add data from years with germination suppression flows (2020 – 2023) into the training data to create the model</w:t>
      </w:r>
      <w:r w:rsidR="005E1DEA" w:rsidRPr="00256144">
        <w:rPr>
          <w:rFonts w:asciiTheme="minorHAnsi" w:hAnsiTheme="minorHAnsi" w:cstheme="minorHAnsi"/>
        </w:rPr>
        <w:t>.</w:t>
      </w:r>
    </w:p>
    <w:p w14:paraId="79C6C08D" w14:textId="0E26FA66" w:rsidR="005B2AA7" w:rsidRPr="00256144" w:rsidRDefault="005B2AA7" w:rsidP="00256144">
      <w:pPr>
        <w:pStyle w:val="ListParagraph"/>
        <w:numPr>
          <w:ilvl w:val="0"/>
          <w:numId w:val="10"/>
        </w:numPr>
        <w:ind w:left="720"/>
        <w:contextualSpacing/>
        <w:jc w:val="both"/>
        <w:rPr>
          <w:rFonts w:asciiTheme="minorHAnsi" w:hAnsiTheme="minorHAnsi" w:cstheme="minorHAnsi"/>
        </w:rPr>
      </w:pPr>
      <w:r w:rsidRPr="00256144">
        <w:rPr>
          <w:rFonts w:asciiTheme="minorHAnsi" w:hAnsiTheme="minorHAnsi" w:cstheme="minorHAnsi"/>
        </w:rPr>
        <w:t>Include</w:t>
      </w:r>
      <w:r w:rsidR="008A3EF2" w:rsidRPr="00256144">
        <w:rPr>
          <w:rFonts w:asciiTheme="minorHAnsi" w:hAnsiTheme="minorHAnsi" w:cstheme="minorHAnsi"/>
        </w:rPr>
        <w:t xml:space="preserve"> a grouping variable to distinguish years with germination suppression flows and those without</w:t>
      </w:r>
      <w:r w:rsidR="005E1DEA" w:rsidRPr="00256144">
        <w:rPr>
          <w:rFonts w:asciiTheme="minorHAnsi" w:hAnsiTheme="minorHAnsi" w:cstheme="minorHAnsi"/>
        </w:rPr>
        <w:t>.</w:t>
      </w:r>
    </w:p>
    <w:p w14:paraId="30058724" w14:textId="77777777" w:rsidR="001C581F" w:rsidRPr="00256144" w:rsidRDefault="001C581F" w:rsidP="00256144">
      <w:pPr>
        <w:pStyle w:val="ListParagraph"/>
        <w:numPr>
          <w:ilvl w:val="0"/>
          <w:numId w:val="10"/>
        </w:numPr>
        <w:ind w:left="720"/>
        <w:contextualSpacing/>
        <w:jc w:val="both"/>
        <w:rPr>
          <w:rFonts w:asciiTheme="minorHAnsi" w:hAnsiTheme="minorHAnsi" w:cstheme="minorHAnsi"/>
        </w:rPr>
      </w:pPr>
      <w:r w:rsidRPr="00256144">
        <w:rPr>
          <w:rFonts w:asciiTheme="minorHAnsi" w:hAnsiTheme="minorHAnsi" w:cstheme="minorHAnsi"/>
        </w:rPr>
        <w:t>Validate model by leaving out 20% of data in each geomorphic reach.</w:t>
      </w:r>
    </w:p>
    <w:p w14:paraId="0098167E" w14:textId="2348D15F" w:rsidR="004D28F8" w:rsidRPr="00256144" w:rsidRDefault="004D28F8" w:rsidP="00256144">
      <w:pPr>
        <w:pStyle w:val="ListParagraph"/>
        <w:numPr>
          <w:ilvl w:val="0"/>
          <w:numId w:val="10"/>
        </w:numPr>
        <w:ind w:left="720"/>
        <w:contextualSpacing/>
        <w:jc w:val="both"/>
        <w:rPr>
          <w:rFonts w:asciiTheme="minorHAnsi" w:hAnsiTheme="minorHAnsi" w:cstheme="minorHAnsi"/>
        </w:rPr>
      </w:pPr>
      <w:r w:rsidRPr="00256144">
        <w:rPr>
          <w:rFonts w:asciiTheme="minorHAnsi" w:hAnsiTheme="minorHAnsi" w:cstheme="minorHAnsi"/>
        </w:rPr>
        <w:t xml:space="preserve">Compare Step 1 results to Step 2 results. How </w:t>
      </w:r>
      <w:r w:rsidR="005E1DEA" w:rsidRPr="00256144">
        <w:rPr>
          <w:rFonts w:asciiTheme="minorHAnsi" w:hAnsiTheme="minorHAnsi" w:cstheme="minorHAnsi"/>
        </w:rPr>
        <w:t xml:space="preserve">well did the model with </w:t>
      </w:r>
      <w:r w:rsidRPr="00256144">
        <w:rPr>
          <w:rFonts w:asciiTheme="minorHAnsi" w:hAnsiTheme="minorHAnsi" w:cstheme="minorHAnsi"/>
        </w:rPr>
        <w:t>2004-2019 data predict effectiveness of germination suppression flows? Did we over</w:t>
      </w:r>
      <w:r w:rsidR="005E1DEA" w:rsidRPr="00256144">
        <w:rPr>
          <w:rFonts w:asciiTheme="minorHAnsi" w:hAnsiTheme="minorHAnsi" w:cstheme="minorHAnsi"/>
        </w:rPr>
        <w:t>-</w:t>
      </w:r>
      <w:r w:rsidRPr="00256144">
        <w:rPr>
          <w:rFonts w:asciiTheme="minorHAnsi" w:hAnsiTheme="minorHAnsi" w:cstheme="minorHAnsi"/>
        </w:rPr>
        <w:t xml:space="preserve"> or under-estimate? Why?</w:t>
      </w:r>
    </w:p>
    <w:p w14:paraId="18382C3C" w14:textId="0F851C37" w:rsidR="001C581F" w:rsidRPr="00256144" w:rsidRDefault="001C581F" w:rsidP="00256144">
      <w:pPr>
        <w:pStyle w:val="ListParagraph"/>
        <w:numPr>
          <w:ilvl w:val="0"/>
          <w:numId w:val="10"/>
        </w:numPr>
        <w:ind w:left="720"/>
        <w:contextualSpacing/>
        <w:jc w:val="both"/>
        <w:rPr>
          <w:rFonts w:asciiTheme="minorHAnsi" w:hAnsiTheme="minorHAnsi" w:cstheme="minorHAnsi"/>
        </w:rPr>
      </w:pPr>
      <w:r w:rsidRPr="00256144">
        <w:rPr>
          <w:rFonts w:asciiTheme="minorHAnsi" w:hAnsiTheme="minorHAnsi" w:cstheme="minorHAnsi"/>
        </w:rPr>
        <w:t>Compare influence of germination suppression flows to river channel disking and herbicide application.</w:t>
      </w:r>
    </w:p>
    <w:p w14:paraId="0D3623C4" w14:textId="77777777" w:rsidR="001C581F" w:rsidRDefault="001C581F" w:rsidP="001C581F">
      <w:pPr>
        <w:contextualSpacing/>
        <w:jc w:val="both"/>
        <w:rPr>
          <w:rFonts w:asciiTheme="minorHAnsi" w:hAnsiTheme="minorHAnsi" w:cstheme="minorHAnsi"/>
        </w:rPr>
      </w:pPr>
    </w:p>
    <w:p w14:paraId="4E2CB76C" w14:textId="77777777" w:rsidR="004D28F8" w:rsidRDefault="004D28F8" w:rsidP="001C581F">
      <w:pPr>
        <w:contextualSpacing/>
        <w:jc w:val="both"/>
        <w:rPr>
          <w:rFonts w:asciiTheme="minorHAnsi" w:hAnsiTheme="minorHAnsi" w:cstheme="minorHAnsi"/>
        </w:rPr>
      </w:pPr>
      <w:r>
        <w:rPr>
          <w:rFonts w:asciiTheme="minorHAnsi" w:hAnsiTheme="minorHAnsi" w:cstheme="minorHAnsi"/>
        </w:rPr>
        <w:t>Step Three:</w:t>
      </w:r>
    </w:p>
    <w:p w14:paraId="09D486E9" w14:textId="53F7211A" w:rsidR="008A3EF2" w:rsidRPr="00256144" w:rsidRDefault="004D28F8" w:rsidP="00256144">
      <w:pPr>
        <w:pStyle w:val="ListParagraph"/>
        <w:numPr>
          <w:ilvl w:val="0"/>
          <w:numId w:val="11"/>
        </w:numPr>
        <w:ind w:left="720"/>
        <w:contextualSpacing/>
        <w:jc w:val="both"/>
        <w:rPr>
          <w:rFonts w:asciiTheme="minorHAnsi" w:hAnsiTheme="minorHAnsi" w:cstheme="minorHAnsi"/>
        </w:rPr>
      </w:pPr>
      <w:r w:rsidRPr="00256144">
        <w:rPr>
          <w:rFonts w:asciiTheme="minorHAnsi" w:hAnsiTheme="minorHAnsi" w:cstheme="minorHAnsi"/>
        </w:rPr>
        <w:t>Use</w:t>
      </w:r>
      <w:r w:rsidR="00EE6784" w:rsidRPr="00256144">
        <w:rPr>
          <w:rFonts w:asciiTheme="minorHAnsi" w:hAnsiTheme="minorHAnsi" w:cstheme="minorHAnsi"/>
        </w:rPr>
        <w:t xml:space="preserve"> t</w:t>
      </w:r>
      <w:r w:rsidR="001C581F" w:rsidRPr="00256144">
        <w:rPr>
          <w:rFonts w:asciiTheme="minorHAnsi" w:hAnsiTheme="minorHAnsi" w:cstheme="minorHAnsi"/>
        </w:rPr>
        <w:t>he m</w:t>
      </w:r>
      <w:r w:rsidR="00876596" w:rsidRPr="00256144">
        <w:rPr>
          <w:rFonts w:asciiTheme="minorHAnsi" w:hAnsiTheme="minorHAnsi" w:cstheme="minorHAnsi"/>
        </w:rPr>
        <w:t>odel from step two to predict</w:t>
      </w:r>
      <w:r w:rsidR="008A3EF2" w:rsidRPr="00256144">
        <w:rPr>
          <w:rFonts w:asciiTheme="minorHAnsi" w:hAnsiTheme="minorHAnsi" w:cstheme="minorHAnsi"/>
        </w:rPr>
        <w:t xml:space="preserve"> future channel conditions under various flow and mechanical management scenarios to inform the SDM process for the Second Increment.</w:t>
      </w:r>
    </w:p>
    <w:p w14:paraId="65E0AFA4" w14:textId="227DAD5C" w:rsidR="008A3EF2" w:rsidRPr="008A3EF2" w:rsidRDefault="001C581F" w:rsidP="001C581F">
      <w:pPr>
        <w:tabs>
          <w:tab w:val="left" w:pos="1965"/>
        </w:tabs>
      </w:pPr>
      <w:r>
        <w:tab/>
      </w:r>
    </w:p>
    <w:p w14:paraId="59FFEED4" w14:textId="2E8724CB" w:rsidR="00C56496" w:rsidRDefault="00C56496">
      <w:pPr>
        <w:rPr>
          <w:b/>
          <w:bCs/>
        </w:rPr>
      </w:pPr>
      <w:r w:rsidRPr="007B1479">
        <w:rPr>
          <w:b/>
          <w:bCs/>
        </w:rPr>
        <w:t>Vegetation State Change</w:t>
      </w:r>
    </w:p>
    <w:p w14:paraId="77556325" w14:textId="36F84340" w:rsidR="00C519BF" w:rsidRDefault="00C519BF" w:rsidP="005E1DEA">
      <w:pPr>
        <w:jc w:val="both"/>
        <w:rPr>
          <w:rFonts w:asciiTheme="minorHAnsi" w:hAnsiTheme="minorHAnsi" w:cstheme="minorHAnsi"/>
        </w:rPr>
      </w:pPr>
      <w:r w:rsidRPr="00EA6F4A">
        <w:rPr>
          <w:rFonts w:asciiTheme="minorHAnsi" w:hAnsiTheme="minorHAnsi" w:cstheme="minorHAnsi"/>
        </w:rPr>
        <w:t xml:space="preserve">A grid-based analysis of the relationship between inundation (2-D model/June aerial imagery) and in-channel vegetation state (inundated, unvegetated, vegetated) will be conducted on an AHR scale. Discriminate analysis can be used to identify inundation timing, duration, and percentage channel </w:t>
      </w:r>
      <w:r w:rsidRPr="00EA6F4A">
        <w:rPr>
          <w:rFonts w:asciiTheme="minorHAnsi" w:hAnsiTheme="minorHAnsi" w:cstheme="minorHAnsi"/>
        </w:rPr>
        <w:lastRenderedPageBreak/>
        <w:t>inundated in relation to vegetation states, specifically conditions that lead to a state change. These analyses will also take any mechanical or chemical management into account.</w:t>
      </w:r>
    </w:p>
    <w:p w14:paraId="7F94FAD1" w14:textId="77777777" w:rsidR="009C4838" w:rsidRDefault="009C4838">
      <w:pPr>
        <w:rPr>
          <w:rFonts w:asciiTheme="minorHAnsi" w:hAnsiTheme="minorHAnsi" w:cstheme="minorHAnsi"/>
        </w:rPr>
      </w:pPr>
    </w:p>
    <w:tbl>
      <w:tblPr>
        <w:tblStyle w:val="TableGrid"/>
        <w:tblW w:w="0" w:type="auto"/>
        <w:tblLook w:val="04A0" w:firstRow="1" w:lastRow="0" w:firstColumn="1" w:lastColumn="0" w:noHBand="0" w:noVBand="1"/>
      </w:tblPr>
      <w:tblGrid>
        <w:gridCol w:w="9350"/>
      </w:tblGrid>
      <w:tr w:rsidR="009C4838" w14:paraId="4E763CEE" w14:textId="77777777" w:rsidTr="005E1DEA">
        <w:tc>
          <w:tcPr>
            <w:tcW w:w="9350" w:type="dxa"/>
            <w:shd w:val="clear" w:color="auto" w:fill="D9E2F3" w:themeFill="accent1" w:themeFillTint="33"/>
          </w:tcPr>
          <w:p w14:paraId="711F07AC" w14:textId="768F6C01" w:rsidR="009C4838" w:rsidRPr="005E1DEA" w:rsidRDefault="009C4838" w:rsidP="005E1DEA">
            <w:pPr>
              <w:jc w:val="center"/>
              <w:rPr>
                <w:rFonts w:cstheme="minorHAnsi"/>
                <w:i/>
                <w:iCs/>
              </w:rPr>
            </w:pPr>
            <w:r w:rsidRPr="005E1DEA">
              <w:rPr>
                <w:rFonts w:cstheme="minorHAnsi"/>
                <w:i/>
                <w:iCs/>
              </w:rPr>
              <w:t xml:space="preserve">This </w:t>
            </w:r>
            <w:r w:rsidR="00813B4E">
              <w:rPr>
                <w:rFonts w:cstheme="minorHAnsi"/>
                <w:i/>
                <w:iCs/>
              </w:rPr>
              <w:t>analysis</w:t>
            </w:r>
            <w:r w:rsidRPr="005E1DEA">
              <w:rPr>
                <w:rFonts w:cstheme="minorHAnsi"/>
                <w:i/>
                <w:iCs/>
              </w:rPr>
              <w:t xml:space="preserve"> is early in development. Ideas are represented in outline </w:t>
            </w:r>
            <w:r>
              <w:rPr>
                <w:rFonts w:cstheme="minorHAnsi"/>
                <w:i/>
                <w:iCs/>
              </w:rPr>
              <w:t>and figure</w:t>
            </w:r>
            <w:r w:rsidR="002049A7">
              <w:rPr>
                <w:rFonts w:cstheme="minorHAnsi"/>
                <w:i/>
                <w:iCs/>
              </w:rPr>
              <w:t xml:space="preserve"> </w:t>
            </w:r>
            <w:r w:rsidRPr="005E1DEA">
              <w:rPr>
                <w:rFonts w:cstheme="minorHAnsi"/>
                <w:i/>
                <w:iCs/>
              </w:rPr>
              <w:t xml:space="preserve">format to introduce the steps in the process </w:t>
            </w:r>
            <w:r w:rsidR="00813B4E">
              <w:rPr>
                <w:rFonts w:cstheme="minorHAnsi"/>
                <w:i/>
                <w:iCs/>
              </w:rPr>
              <w:t xml:space="preserve">and </w:t>
            </w:r>
            <w:r>
              <w:rPr>
                <w:rFonts w:cstheme="minorHAnsi"/>
                <w:i/>
                <w:iCs/>
              </w:rPr>
              <w:t>to facilitate discussion</w:t>
            </w:r>
            <w:r w:rsidRPr="005E1DEA">
              <w:rPr>
                <w:rFonts w:cstheme="minorHAnsi"/>
                <w:i/>
                <w:iCs/>
              </w:rPr>
              <w:t>.</w:t>
            </w:r>
          </w:p>
        </w:tc>
      </w:tr>
    </w:tbl>
    <w:p w14:paraId="4F1E6230" w14:textId="77777777" w:rsidR="009C4838" w:rsidRDefault="009C4838">
      <w:pPr>
        <w:rPr>
          <w:rFonts w:asciiTheme="minorHAnsi" w:hAnsiTheme="minorHAnsi" w:cstheme="minorHAnsi"/>
        </w:rPr>
      </w:pPr>
    </w:p>
    <w:p w14:paraId="7B52A050" w14:textId="77777777" w:rsidR="00370718" w:rsidRPr="00370718" w:rsidRDefault="00370718" w:rsidP="00370718">
      <w:pPr>
        <w:pStyle w:val="ListParagraph"/>
        <w:widowControl/>
        <w:numPr>
          <w:ilvl w:val="0"/>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State Change Model</w:t>
      </w:r>
    </w:p>
    <w:p w14:paraId="2BDD0E21" w14:textId="77777777" w:rsidR="00370718" w:rsidRPr="00370718" w:rsidRDefault="00370718" w:rsidP="00370718">
      <w:pPr>
        <w:pStyle w:val="ListParagraph"/>
        <w:widowControl/>
        <w:numPr>
          <w:ilvl w:val="1"/>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Objective – Correlate germination suppression flow magnitude with vegetation establishment and succession.</w:t>
      </w:r>
    </w:p>
    <w:p w14:paraId="5A73E593"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Is there a relationship between inundation and vegetation establishment?</w:t>
      </w:r>
    </w:p>
    <w:p w14:paraId="2B3B0D39"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How much of the channel that is inundated by a germination suppression flow release remains unvegetated through time?</w:t>
      </w:r>
    </w:p>
    <w:p w14:paraId="13770EDD" w14:textId="77777777" w:rsidR="00370718" w:rsidRPr="00370718" w:rsidRDefault="00370718" w:rsidP="00370718">
      <w:pPr>
        <w:pStyle w:val="ListParagraph"/>
        <w:widowControl/>
        <w:numPr>
          <w:ilvl w:val="1"/>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Conceptual model</w:t>
      </w:r>
    </w:p>
    <w:p w14:paraId="5981EEE1"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Large peak flows laterally scour channel banks/islands and remodels the channel bed – generally by flattening topography. </w:t>
      </w:r>
    </w:p>
    <w:p w14:paraId="68B60939"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Vegetation becomes established in channel if aerially exposed  </w:t>
      </w:r>
    </w:p>
    <w:p w14:paraId="2A8CC798"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Wet years – channel inundated = no establishment except on high bars and islands where sand deposited (buried woody reemerges)</w:t>
      </w:r>
    </w:p>
    <w:p w14:paraId="75D1DDAB"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Dry years – Veg establishes across range of bed elevations</w:t>
      </w:r>
    </w:p>
    <w:p w14:paraId="0F31E5F4"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Low surfaces – inundated in winter and vegetation destroyed</w:t>
      </w:r>
    </w:p>
    <w:p w14:paraId="084F8CCC"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High surfaces (not inundated) - vegetation persists into next year</w:t>
      </w:r>
    </w:p>
    <w:p w14:paraId="6ED928B3"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Amount of channel inundated is a function of winter flows</w:t>
      </w:r>
    </w:p>
    <w:p w14:paraId="1BFB5CE1"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Intermediate years – scouring of low surfaces and deposition on intermediate surfaces</w:t>
      </w:r>
    </w:p>
    <w:p w14:paraId="1526F557"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Germination suppression flow – inundate channel &amp; prevent germination on surfaces that are above winter flow elevation. </w:t>
      </w:r>
    </w:p>
    <w:p w14:paraId="129EB6AB" w14:textId="77777777" w:rsidR="00370718" w:rsidRPr="00370718" w:rsidRDefault="00370718" w:rsidP="00370718">
      <w:pPr>
        <w:pStyle w:val="ListParagraph"/>
        <w:widowControl/>
        <w:numPr>
          <w:ilvl w:val="1"/>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Analysis</w:t>
      </w:r>
    </w:p>
    <w:p w14:paraId="6DD26A1A"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Data sources</w:t>
      </w:r>
    </w:p>
    <w:p w14:paraId="3C3D5930"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LiDAR (bare earth and highest hit) processed into 3 ft grids</w:t>
      </w:r>
    </w:p>
    <w:p w14:paraId="18935617"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CIR Imagery (veg signature)</w:t>
      </w:r>
    </w:p>
    <w:p w14:paraId="675A670D"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2D Hydrodynamic Modeling – Deterministic modeling of channel hydraulics (water surface </w:t>
      </w:r>
      <w:proofErr w:type="spellStart"/>
      <w:r w:rsidRPr="00370718">
        <w:rPr>
          <w:rFonts w:asciiTheme="minorHAnsi" w:hAnsiTheme="minorHAnsi" w:cstheme="minorHAnsi"/>
        </w:rPr>
        <w:t>elev</w:t>
      </w:r>
      <w:proofErr w:type="spellEnd"/>
      <w:r w:rsidRPr="00370718">
        <w:rPr>
          <w:rFonts w:asciiTheme="minorHAnsi" w:hAnsiTheme="minorHAnsi" w:cstheme="minorHAnsi"/>
        </w:rPr>
        <w:t>, flow depth, velocity, shear stress, etc.)</w:t>
      </w:r>
    </w:p>
    <w:p w14:paraId="12304E7E"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Range of flows 500 – 5000 cfs with flow splits</w:t>
      </w:r>
    </w:p>
    <w:p w14:paraId="623FF969"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Timeframe</w:t>
      </w:r>
      <w:r w:rsidRPr="00370718">
        <w:rPr>
          <w:rFonts w:asciiTheme="minorHAnsi" w:hAnsiTheme="minorHAnsi" w:cstheme="minorHAnsi"/>
        </w:rPr>
        <w:tab/>
      </w:r>
    </w:p>
    <w:p w14:paraId="4B500F7B"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2019 = wet / peak flow year (system reset)</w:t>
      </w:r>
    </w:p>
    <w:p w14:paraId="596EAF75"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Germination suppression flow releases 2020 – 2023 (only have 2020 – 2022 data to date)</w:t>
      </w:r>
    </w:p>
    <w:p w14:paraId="064E0A2D"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2020 target 2000</w:t>
      </w:r>
    </w:p>
    <w:p w14:paraId="7AE91EAF"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2021 target 1500</w:t>
      </w:r>
    </w:p>
    <w:p w14:paraId="5C4B2492" w14:textId="13F1C1D5"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2022 best example of dry year, but irrigation limit</w:t>
      </w:r>
      <w:r w:rsidR="002049A7">
        <w:rPr>
          <w:rFonts w:asciiTheme="minorHAnsi" w:hAnsiTheme="minorHAnsi" w:cstheme="minorHAnsi"/>
        </w:rPr>
        <w:t>ed</w:t>
      </w:r>
      <w:r w:rsidRPr="00370718">
        <w:rPr>
          <w:rFonts w:asciiTheme="minorHAnsi" w:hAnsiTheme="minorHAnsi" w:cstheme="minorHAnsi"/>
        </w:rPr>
        <w:t xml:space="preserve"> release</w:t>
      </w:r>
    </w:p>
    <w:p w14:paraId="49C6DEC3"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2023 very high flows out of S Platte, way above 1500 cfs target</w:t>
      </w:r>
    </w:p>
    <w:p w14:paraId="6D5CC3FE"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lastRenderedPageBreak/>
        <w:t>Hydrologic Metrics</w:t>
      </w:r>
    </w:p>
    <w:p w14:paraId="1AD7C95B"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40-Day Mean Max Discharge</w:t>
      </w:r>
    </w:p>
    <w:p w14:paraId="6354790E"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Germ-Suppress Period Discharge </w:t>
      </w:r>
    </w:p>
    <w:p w14:paraId="3AB4F57D"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Winter/Spring Baseflow – NEED TO DISCUSS</w:t>
      </w:r>
    </w:p>
    <w:p w14:paraId="4B3A895C"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Channel Hydraulics</w:t>
      </w:r>
    </w:p>
    <w:p w14:paraId="1FB47D2B"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RAS 2D model(s) generated from LiDAR rasters</w:t>
      </w:r>
    </w:p>
    <w:p w14:paraId="6A329FED"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3-ft rasters of hydraulic metrics that are coincident with LiDAR </w:t>
      </w:r>
    </w:p>
    <w:p w14:paraId="332E47FA"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Vegetation Data</w:t>
      </w:r>
      <w:r w:rsidRPr="00370718">
        <w:rPr>
          <w:rFonts w:asciiTheme="minorHAnsi" w:hAnsiTheme="minorHAnsi" w:cstheme="minorHAnsi"/>
        </w:rPr>
        <w:tab/>
      </w:r>
    </w:p>
    <w:p w14:paraId="118C057C"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proofErr w:type="spellStart"/>
      <w:r w:rsidRPr="00370718">
        <w:rPr>
          <w:rFonts w:asciiTheme="minorHAnsi" w:hAnsiTheme="minorHAnsi" w:cstheme="minorHAnsi"/>
        </w:rPr>
        <w:t>ECognition</w:t>
      </w:r>
      <w:proofErr w:type="spellEnd"/>
      <w:r w:rsidRPr="00370718">
        <w:rPr>
          <w:rFonts w:asciiTheme="minorHAnsi" w:hAnsiTheme="minorHAnsi" w:cstheme="minorHAnsi"/>
        </w:rPr>
        <w:t xml:space="preserve"> vegetation classifications (annual)</w:t>
      </w:r>
    </w:p>
    <w:p w14:paraId="43BB1A59"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LiDAR &amp; CIR Imagery</w:t>
      </w:r>
    </w:p>
    <w:p w14:paraId="7BEE99ED"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State Change Analysis </w:t>
      </w:r>
    </w:p>
    <w:p w14:paraId="0B9411E3" w14:textId="464D85B5" w:rsidR="00370718" w:rsidRPr="00370718" w:rsidRDefault="00370718" w:rsidP="00370718">
      <w:pPr>
        <w:pStyle w:val="ListParagraph"/>
        <w:widowControl/>
        <w:numPr>
          <w:ilvl w:val="3"/>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Intersect annual </w:t>
      </w:r>
      <w:proofErr w:type="spellStart"/>
      <w:r w:rsidRPr="00370718">
        <w:rPr>
          <w:rFonts w:asciiTheme="minorHAnsi" w:hAnsiTheme="minorHAnsi" w:cstheme="minorHAnsi"/>
        </w:rPr>
        <w:t>ECognition</w:t>
      </w:r>
      <w:proofErr w:type="spellEnd"/>
      <w:r w:rsidRPr="00370718">
        <w:rPr>
          <w:rFonts w:asciiTheme="minorHAnsi" w:hAnsiTheme="minorHAnsi" w:cstheme="minorHAnsi"/>
        </w:rPr>
        <w:t xml:space="preserve"> results to identify in-channel vegetation change by year</w:t>
      </w:r>
      <w:r w:rsidR="002049A7">
        <w:rPr>
          <w:rFonts w:asciiTheme="minorHAnsi" w:hAnsiTheme="minorHAnsi" w:cstheme="minorHAnsi"/>
        </w:rPr>
        <w:t xml:space="preserve"> (</w:t>
      </w:r>
      <w:r w:rsidR="002049A7" w:rsidRPr="002049A7">
        <w:rPr>
          <w:rFonts w:asciiTheme="minorHAnsi" w:hAnsiTheme="minorHAnsi" w:cstheme="minorHAnsi"/>
          <w:b/>
          <w:bCs/>
        </w:rPr>
        <w:t>Figures 2-3</w:t>
      </w:r>
      <w:r w:rsidR="002049A7">
        <w:rPr>
          <w:rFonts w:asciiTheme="minorHAnsi" w:hAnsiTheme="minorHAnsi" w:cstheme="minorHAnsi"/>
        </w:rPr>
        <w:t>)</w:t>
      </w:r>
    </w:p>
    <w:p w14:paraId="4A7EDD73" w14:textId="77777777" w:rsidR="00370718" w:rsidRPr="00370718" w:rsidRDefault="00370718" w:rsidP="00370718">
      <w:pPr>
        <w:pStyle w:val="ListParagraph"/>
        <w:widowControl/>
        <w:numPr>
          <w:ilvl w:val="4"/>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Unvegetated (sand, water) to:</w:t>
      </w:r>
    </w:p>
    <w:p w14:paraId="00025029" w14:textId="77777777" w:rsidR="00370718" w:rsidRPr="00370718" w:rsidRDefault="00370718" w:rsidP="00370718">
      <w:pPr>
        <w:pStyle w:val="ListParagraph"/>
        <w:widowControl/>
        <w:numPr>
          <w:ilvl w:val="5"/>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Vegetated &lt; 2ft</w:t>
      </w:r>
    </w:p>
    <w:p w14:paraId="73C9DE07" w14:textId="77777777" w:rsidR="00370718" w:rsidRPr="00370718" w:rsidRDefault="00370718" w:rsidP="00370718">
      <w:pPr>
        <w:pStyle w:val="ListParagraph"/>
        <w:widowControl/>
        <w:numPr>
          <w:ilvl w:val="5"/>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Vegetated 2-6 ft (obstructed)</w:t>
      </w:r>
    </w:p>
    <w:p w14:paraId="2257A809" w14:textId="77777777" w:rsidR="00370718" w:rsidRPr="00370718" w:rsidRDefault="00370718" w:rsidP="00370718">
      <w:pPr>
        <w:pStyle w:val="ListParagraph"/>
        <w:widowControl/>
        <w:numPr>
          <w:ilvl w:val="4"/>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In-channel vegetation with no change (stays vegetated)</w:t>
      </w:r>
    </w:p>
    <w:p w14:paraId="17D61B7E" w14:textId="77777777" w:rsidR="00370718" w:rsidRPr="00370718" w:rsidRDefault="00370718" w:rsidP="00370718">
      <w:pPr>
        <w:pStyle w:val="ListParagraph"/>
        <w:widowControl/>
        <w:numPr>
          <w:ilvl w:val="3"/>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LiDAR – Intersect rasters to identify cells that change from 0 canopy height to:</w:t>
      </w:r>
    </w:p>
    <w:p w14:paraId="0BE9696C" w14:textId="77777777" w:rsidR="00370718" w:rsidRPr="00370718" w:rsidRDefault="00370718" w:rsidP="00370718">
      <w:pPr>
        <w:pStyle w:val="ListParagraph"/>
        <w:widowControl/>
        <w:numPr>
          <w:ilvl w:val="4"/>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&lt; 2 ft canopy height</w:t>
      </w:r>
    </w:p>
    <w:p w14:paraId="147E1400" w14:textId="77777777" w:rsidR="00370718" w:rsidRPr="00370718" w:rsidRDefault="00370718" w:rsidP="00370718">
      <w:pPr>
        <w:pStyle w:val="ListParagraph"/>
        <w:widowControl/>
        <w:numPr>
          <w:ilvl w:val="4"/>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2 – 6 ft canopy height</w:t>
      </w:r>
    </w:p>
    <w:p w14:paraId="43D20D94" w14:textId="77777777" w:rsidR="00370718" w:rsidRPr="00370718" w:rsidRDefault="00370718" w:rsidP="00370718">
      <w:pPr>
        <w:pStyle w:val="ListParagraph"/>
        <w:widowControl/>
        <w:numPr>
          <w:ilvl w:val="4"/>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&gt; 6 ft canopy height</w:t>
      </w:r>
    </w:p>
    <w:p w14:paraId="6C5FCED7" w14:textId="77777777" w:rsidR="00370718" w:rsidRPr="00370718" w:rsidRDefault="00370718" w:rsidP="00370718">
      <w:pPr>
        <w:pStyle w:val="ListParagraph"/>
        <w:widowControl/>
        <w:numPr>
          <w:ilvl w:val="4"/>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Note: need to correct for mechanical clearing  – Primarily @ Rowe &amp; WCT flow splits</w:t>
      </w:r>
    </w:p>
    <w:p w14:paraId="328EF369" w14:textId="25E58CDC" w:rsidR="00370718" w:rsidRPr="00370718" w:rsidRDefault="00370718" w:rsidP="00370718">
      <w:pPr>
        <w:pStyle w:val="ListParagraph"/>
        <w:widowControl/>
        <w:numPr>
          <w:ilvl w:val="3"/>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Intersect vegetation change (polygon or raster) with hydraulic model flow depth @ 1,500 cfs raster (and/or other discharges)</w:t>
      </w:r>
      <w:r w:rsidR="002049A7">
        <w:rPr>
          <w:rFonts w:asciiTheme="minorHAnsi" w:hAnsiTheme="minorHAnsi" w:cstheme="minorHAnsi"/>
        </w:rPr>
        <w:t xml:space="preserve"> (</w:t>
      </w:r>
      <w:r w:rsidR="002049A7" w:rsidRPr="002049A7">
        <w:rPr>
          <w:rFonts w:asciiTheme="minorHAnsi" w:hAnsiTheme="minorHAnsi" w:cstheme="minorHAnsi"/>
          <w:b/>
          <w:bCs/>
        </w:rPr>
        <w:t>Figures 4-5</w:t>
      </w:r>
      <w:r w:rsidR="002049A7">
        <w:rPr>
          <w:rFonts w:asciiTheme="minorHAnsi" w:hAnsiTheme="minorHAnsi" w:cstheme="minorHAnsi"/>
          <w:b/>
          <w:bCs/>
        </w:rPr>
        <w:t>, Table 2</w:t>
      </w:r>
      <w:r w:rsidR="002049A7">
        <w:rPr>
          <w:rFonts w:asciiTheme="minorHAnsi" w:hAnsiTheme="minorHAnsi" w:cstheme="minorHAnsi"/>
        </w:rPr>
        <w:t>)</w:t>
      </w:r>
    </w:p>
    <w:p w14:paraId="311CCCCD" w14:textId="2A82D63F" w:rsidR="00370718" w:rsidRPr="00370718" w:rsidRDefault="00370718" w:rsidP="00370718">
      <w:pPr>
        <w:pStyle w:val="ListParagraph"/>
        <w:widowControl/>
        <w:numPr>
          <w:ilvl w:val="4"/>
          <w:numId w:val="5"/>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Distribution of flow depths by vegetation change classes</w:t>
      </w:r>
    </w:p>
    <w:p w14:paraId="38E99D27" w14:textId="77777777" w:rsidR="00370718" w:rsidRPr="00370718" w:rsidRDefault="00370718" w:rsidP="00370718">
      <w:pPr>
        <w:pStyle w:val="ListParagraph"/>
        <w:widowControl/>
        <w:numPr>
          <w:ilvl w:val="0"/>
          <w:numId w:val="7"/>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Becomes a Big Data Problem</w:t>
      </w:r>
    </w:p>
    <w:p w14:paraId="753EC259" w14:textId="77777777" w:rsidR="00370718" w:rsidRPr="00370718" w:rsidRDefault="00370718" w:rsidP="00370718">
      <w:pPr>
        <w:pStyle w:val="ListParagraph"/>
        <w:widowControl/>
        <w:numPr>
          <w:ilvl w:val="4"/>
          <w:numId w:val="6"/>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1 million points per river mile</w:t>
      </w:r>
    </w:p>
    <w:p w14:paraId="03B2C0BA" w14:textId="77777777" w:rsidR="00370718" w:rsidRPr="00370718" w:rsidRDefault="00370718" w:rsidP="00370718">
      <w:pPr>
        <w:pStyle w:val="ListParagraph"/>
        <w:widowControl/>
        <w:numPr>
          <w:ilvl w:val="4"/>
          <w:numId w:val="6"/>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Everything correlated</w:t>
      </w:r>
    </w:p>
    <w:p w14:paraId="7B9864BA" w14:textId="77777777" w:rsidR="00370718" w:rsidRPr="00370718" w:rsidRDefault="00370718" w:rsidP="00370718">
      <w:pPr>
        <w:pStyle w:val="ListParagraph"/>
        <w:widowControl/>
        <w:numPr>
          <w:ilvl w:val="4"/>
          <w:numId w:val="6"/>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Undefinable uncertainty (multiple sources of uncertainty)</w:t>
      </w:r>
    </w:p>
    <w:p w14:paraId="205D2683" w14:textId="77777777" w:rsidR="00370718" w:rsidRPr="00370718" w:rsidRDefault="00370718" w:rsidP="00370718">
      <w:pPr>
        <w:pStyle w:val="ListParagraph"/>
        <w:widowControl/>
        <w:numPr>
          <w:ilvl w:val="4"/>
          <w:numId w:val="6"/>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Zero inflated</w:t>
      </w:r>
    </w:p>
    <w:p w14:paraId="6CC38AB6" w14:textId="51A75DA7" w:rsidR="00370718" w:rsidRPr="00370718" w:rsidRDefault="00370718" w:rsidP="00370718">
      <w:pPr>
        <w:pStyle w:val="ListParagraph"/>
        <w:widowControl/>
        <w:numPr>
          <w:ilvl w:val="4"/>
          <w:numId w:val="6"/>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You can see it – best way to analyze it?</w:t>
      </w:r>
    </w:p>
    <w:p w14:paraId="4AC47E8B" w14:textId="20711CEC" w:rsidR="001E70B6" w:rsidRDefault="00C56496" w:rsidP="00E35CE6">
      <w:pPr>
        <w:jc w:val="both"/>
      </w:pPr>
      <w:r w:rsidRPr="005E1DEA">
        <w:rPr>
          <w:i/>
          <w:iCs/>
        </w:rPr>
        <w:t>ISAC question:</w:t>
      </w:r>
      <w:r>
        <w:t xml:space="preserve"> How do you “sample” your full dataset in a way that allows you to examine </w:t>
      </w:r>
      <w:r w:rsidR="005E1DEA">
        <w:t xml:space="preserve">the </w:t>
      </w:r>
      <w:r>
        <w:t>relationships between water depth and change in vegetation state? Billions of pixels with associated modeled depths and LiDAR vegetation heights is too big of a dataset to work with and all spatially and temporally correlated.</w:t>
      </w:r>
      <w:r w:rsidR="001E70B6">
        <w:br w:type="page"/>
      </w:r>
    </w:p>
    <w:p w14:paraId="72F18E29" w14:textId="77777777" w:rsidR="00C519BF" w:rsidRDefault="00C56496">
      <w:r w:rsidRPr="00C519BF">
        <w:rPr>
          <w:b/>
          <w:bCs/>
        </w:rPr>
        <w:lastRenderedPageBreak/>
        <w:t>Channel Width Maintenance</w:t>
      </w:r>
    </w:p>
    <w:p w14:paraId="3DDDE881" w14:textId="77777777" w:rsidR="00370718" w:rsidRPr="00370718" w:rsidRDefault="00370718" w:rsidP="00370718">
      <w:pPr>
        <w:pStyle w:val="ListParagraph"/>
        <w:widowControl/>
        <w:numPr>
          <w:ilvl w:val="0"/>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Width maintenance model</w:t>
      </w:r>
    </w:p>
    <w:p w14:paraId="052D7369" w14:textId="77777777" w:rsidR="00370718" w:rsidRPr="00370718" w:rsidRDefault="00370718" w:rsidP="00370718">
      <w:pPr>
        <w:pStyle w:val="ListParagraph"/>
        <w:widowControl/>
        <w:numPr>
          <w:ilvl w:val="1"/>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Objective – Estimate maintainable (with flow) width potential at Program complexes based on state change modeling results</w:t>
      </w:r>
    </w:p>
    <w:p w14:paraId="3BB12EC1"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Key understandings: </w:t>
      </w:r>
    </w:p>
    <w:p w14:paraId="175B7104" w14:textId="5AED5FDF" w:rsidR="00370718" w:rsidRPr="00370718" w:rsidRDefault="00835A7D"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Pr>
          <w:rFonts w:asciiTheme="minorHAnsi" w:hAnsiTheme="minorHAnsi" w:cstheme="minorHAnsi"/>
        </w:rPr>
        <w:t>M</w:t>
      </w:r>
      <w:r w:rsidR="00370718" w:rsidRPr="00370718">
        <w:rPr>
          <w:rFonts w:asciiTheme="minorHAnsi" w:hAnsiTheme="minorHAnsi" w:cstheme="minorHAnsi"/>
        </w:rPr>
        <w:t>uch of the reach flow split between main and secondary channels</w:t>
      </w:r>
      <w:r>
        <w:rPr>
          <w:rFonts w:asciiTheme="minorHAnsi" w:hAnsiTheme="minorHAnsi" w:cstheme="minorHAnsi"/>
        </w:rPr>
        <w:t xml:space="preserve"> (</w:t>
      </w:r>
      <w:r w:rsidRPr="00835A7D">
        <w:rPr>
          <w:rFonts w:asciiTheme="minorHAnsi" w:hAnsiTheme="minorHAnsi" w:cstheme="minorHAnsi"/>
          <w:b/>
          <w:bCs/>
        </w:rPr>
        <w:t>Figure 6</w:t>
      </w:r>
      <w:r>
        <w:rPr>
          <w:rFonts w:asciiTheme="minorHAnsi" w:hAnsiTheme="minorHAnsi" w:cstheme="minorHAnsi"/>
        </w:rPr>
        <w:t>)</w:t>
      </w:r>
      <w:r w:rsidR="00370718" w:rsidRPr="00370718">
        <w:rPr>
          <w:rFonts w:asciiTheme="minorHAnsi" w:hAnsiTheme="minorHAnsi" w:cstheme="minorHAnsi"/>
        </w:rPr>
        <w:t>.</w:t>
      </w:r>
    </w:p>
    <w:p w14:paraId="2A0B6432" w14:textId="7A3A5B75"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Probability of maintaining width w/o mechanical is highly dependent on % of flow consolidated in main channel and total channel width</w:t>
      </w:r>
      <w:r w:rsidR="00835A7D">
        <w:rPr>
          <w:rFonts w:asciiTheme="minorHAnsi" w:hAnsiTheme="minorHAnsi" w:cstheme="minorHAnsi"/>
        </w:rPr>
        <w:t xml:space="preserve">    (</w:t>
      </w:r>
      <w:r w:rsidR="00835A7D">
        <w:rPr>
          <w:rFonts w:asciiTheme="minorHAnsi" w:hAnsiTheme="minorHAnsi" w:cstheme="minorHAnsi"/>
          <w:b/>
          <w:bCs/>
        </w:rPr>
        <w:t xml:space="preserve">Figure </w:t>
      </w:r>
      <w:r w:rsidR="00835A7D" w:rsidRPr="00835A7D">
        <w:rPr>
          <w:rFonts w:asciiTheme="minorHAnsi" w:hAnsiTheme="minorHAnsi" w:cstheme="minorHAnsi"/>
          <w:b/>
          <w:bCs/>
        </w:rPr>
        <w:t>7</w:t>
      </w:r>
      <w:r w:rsidR="00835A7D">
        <w:rPr>
          <w:rFonts w:asciiTheme="minorHAnsi" w:hAnsiTheme="minorHAnsi" w:cstheme="minorHAnsi"/>
        </w:rPr>
        <w:t>)</w:t>
      </w:r>
      <w:r w:rsidRPr="00370718">
        <w:rPr>
          <w:rFonts w:asciiTheme="minorHAnsi" w:hAnsiTheme="minorHAnsi" w:cstheme="minorHAnsi"/>
        </w:rPr>
        <w:t xml:space="preserve">.  </w:t>
      </w:r>
    </w:p>
    <w:p w14:paraId="120F9F6B"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Width potential increases through reach (everything covaries with RM)</w:t>
      </w:r>
    </w:p>
    <w:p w14:paraId="7C6389C2"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Observed unvegetated width likely doesn’t = width potential in many places due to vegetation reinforcement of banks </w:t>
      </w:r>
    </w:p>
    <w:p w14:paraId="11A8D908" w14:textId="77777777" w:rsidR="00370718" w:rsidRPr="00370718" w:rsidRDefault="00370718" w:rsidP="00370718">
      <w:pPr>
        <w:pStyle w:val="ListParagraph"/>
        <w:widowControl/>
        <w:numPr>
          <w:ilvl w:val="4"/>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Have to be picky about site selection</w:t>
      </w:r>
    </w:p>
    <w:p w14:paraId="159ABDA2" w14:textId="77777777" w:rsidR="00370718" w:rsidRPr="00370718" w:rsidRDefault="00370718" w:rsidP="00370718">
      <w:pPr>
        <w:pStyle w:val="ListParagraph"/>
        <w:widowControl/>
        <w:numPr>
          <w:ilvl w:val="2"/>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Multi-variate analysis </w:t>
      </w:r>
    </w:p>
    <w:p w14:paraId="6C69AC64" w14:textId="77777777" w:rsidR="00370718" w:rsidRPr="00370718" w:rsidRDefault="00370718" w:rsidP="00370718">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TCW, TUCW, MUCW, Consolidation, river mile, discharge</w:t>
      </w:r>
    </w:p>
    <w:p w14:paraId="66AE2323" w14:textId="01A8E784" w:rsidR="00C56496" w:rsidRPr="00813B4E" w:rsidRDefault="00370718" w:rsidP="00813B4E">
      <w:pPr>
        <w:pStyle w:val="ListParagraph"/>
        <w:widowControl/>
        <w:numPr>
          <w:ilvl w:val="3"/>
          <w:numId w:val="4"/>
        </w:numPr>
        <w:autoSpaceDE/>
        <w:autoSpaceDN/>
        <w:spacing w:before="0" w:after="160" w:line="259" w:lineRule="auto"/>
        <w:contextualSpacing/>
        <w:rPr>
          <w:rFonts w:asciiTheme="minorHAnsi" w:hAnsiTheme="minorHAnsi" w:cstheme="minorHAnsi"/>
        </w:rPr>
      </w:pPr>
      <w:r w:rsidRPr="00370718">
        <w:rPr>
          <w:rFonts w:asciiTheme="minorHAnsi" w:hAnsiTheme="minorHAnsi" w:cstheme="minorHAnsi"/>
        </w:rPr>
        <w:t xml:space="preserve">Univariate example in figure below. </w:t>
      </w:r>
    </w:p>
    <w:p w14:paraId="379D3E1F" w14:textId="77777777" w:rsidR="00256144" w:rsidRDefault="00256144" w:rsidP="007B1479">
      <w:pPr>
        <w:tabs>
          <w:tab w:val="left" w:pos="495"/>
        </w:tabs>
        <w:spacing w:before="60"/>
        <w:jc w:val="both"/>
        <w:rPr>
          <w:rFonts w:asciiTheme="minorHAnsi" w:hAnsiTheme="minorHAnsi" w:cstheme="minorHAnsi"/>
          <w:bCs/>
          <w:color w:val="0070C0"/>
          <w:sz w:val="26"/>
          <w:szCs w:val="26"/>
        </w:rPr>
      </w:pPr>
    </w:p>
    <w:p w14:paraId="04A4DD3A" w14:textId="3CBCF203" w:rsidR="007B1479" w:rsidRPr="00276DC7" w:rsidRDefault="007B1479" w:rsidP="007B1479">
      <w:pPr>
        <w:tabs>
          <w:tab w:val="left" w:pos="495"/>
        </w:tabs>
        <w:spacing w:before="60"/>
        <w:jc w:val="both"/>
        <w:rPr>
          <w:rFonts w:asciiTheme="minorHAnsi" w:hAnsiTheme="minorHAnsi" w:cstheme="minorHAnsi"/>
          <w:bCs/>
          <w:color w:val="0070C0"/>
          <w:sz w:val="26"/>
          <w:szCs w:val="26"/>
        </w:rPr>
      </w:pPr>
      <w:r w:rsidRPr="00276DC7">
        <w:rPr>
          <w:rFonts w:asciiTheme="minorHAnsi" w:hAnsiTheme="minorHAnsi" w:cstheme="minorHAnsi"/>
          <w:bCs/>
          <w:color w:val="0070C0"/>
          <w:sz w:val="26"/>
          <w:szCs w:val="26"/>
        </w:rPr>
        <w:t>REFERENCES</w:t>
      </w:r>
    </w:p>
    <w:p w14:paraId="0468F8C6" w14:textId="2290C098" w:rsidR="00276DC7" w:rsidRPr="00C539BD" w:rsidRDefault="007B1479" w:rsidP="00276DC7">
      <w:pPr>
        <w:jc w:val="both"/>
        <w:rPr>
          <w:rFonts w:asciiTheme="minorHAnsi" w:hAnsiTheme="minorHAnsi" w:cstheme="minorHAnsi"/>
        </w:rPr>
      </w:pPr>
      <w:r w:rsidRPr="00EA6F4A">
        <w:rPr>
          <w:rFonts w:asciiTheme="minorHAnsi" w:hAnsiTheme="minorHAnsi" w:cstheme="minorHAnsi"/>
        </w:rPr>
        <w:t xml:space="preserve">Platte River Recovery Implementation Program (PRRIP). 2022. Platte River Recovery Implementation Program First Increment Extension Science Plan. </w:t>
      </w:r>
      <w:hyperlink r:id="rId9" w:history="1">
        <w:r w:rsidRPr="00680405">
          <w:rPr>
            <w:rStyle w:val="Hyperlink"/>
            <w:rFonts w:asciiTheme="minorHAnsi" w:hAnsiTheme="minorHAnsi" w:cstheme="minorHAnsi"/>
          </w:rPr>
          <w:t>https://platteriverprogram.org/document/prrip-extension-science-plan</w:t>
        </w:r>
      </w:hyperlink>
      <w:r w:rsidR="00276DC7">
        <w:rPr>
          <w:color w:val="2F5496" w:themeColor="accent1" w:themeShade="BF"/>
          <w:sz w:val="26"/>
          <w:szCs w:val="26"/>
        </w:rPr>
        <w:br w:type="page"/>
      </w:r>
    </w:p>
    <w:p w14:paraId="204B7ACE" w14:textId="0B4AE2C9" w:rsidR="007B1479" w:rsidRDefault="005E1DEA">
      <w:pPr>
        <w:rPr>
          <w:color w:val="0070C0"/>
          <w:sz w:val="26"/>
          <w:szCs w:val="26"/>
        </w:rPr>
      </w:pPr>
      <w:r>
        <w:rPr>
          <w:color w:val="0070C0"/>
          <w:sz w:val="26"/>
          <w:szCs w:val="26"/>
        </w:rPr>
        <w:lastRenderedPageBreak/>
        <w:t>TABLES</w:t>
      </w:r>
    </w:p>
    <w:p w14:paraId="530EB1A8" w14:textId="77777777" w:rsidR="005E1DEA" w:rsidRDefault="005E1DEA">
      <w:pPr>
        <w:rPr>
          <w:color w:val="0070C0"/>
          <w:sz w:val="26"/>
          <w:szCs w:val="26"/>
        </w:rPr>
      </w:pPr>
    </w:p>
    <w:p w14:paraId="78B3E644" w14:textId="77777777" w:rsidR="005E1DEA" w:rsidRDefault="005E1DEA" w:rsidP="005E1DEA">
      <w:pPr>
        <w:contextualSpacing/>
        <w:jc w:val="both"/>
        <w:rPr>
          <w:rFonts w:asciiTheme="minorHAnsi" w:hAnsiTheme="minorHAnsi" w:cstheme="minorHAnsi"/>
        </w:rPr>
      </w:pPr>
      <w:r w:rsidRPr="005E1DEA">
        <w:rPr>
          <w:rFonts w:asciiTheme="minorHAnsi" w:hAnsiTheme="minorHAnsi" w:cstheme="minorHAnsi"/>
          <w:b/>
          <w:bCs/>
        </w:rPr>
        <w:t>Table 1.</w:t>
      </w:r>
      <w:r>
        <w:rPr>
          <w:rFonts w:asciiTheme="minorHAnsi" w:hAnsiTheme="minorHAnsi" w:cstheme="minorHAnsi"/>
        </w:rPr>
        <w:t xml:space="preserve"> Response variable, or dependent variable, and explanatory variables used in the machine learning model to quantify the effectiveness of germination suppression flows to maintain highly suitable unobstructed channel widths for whooping cranes, while accounting for additional management actions and spatial differences within the Associated Habitat Reach. </w:t>
      </w:r>
    </w:p>
    <w:tbl>
      <w:tblPr>
        <w:tblStyle w:val="TableGrid"/>
        <w:tblW w:w="0" w:type="auto"/>
        <w:jc w:val="center"/>
        <w:tblLook w:val="04A0" w:firstRow="1" w:lastRow="0" w:firstColumn="1" w:lastColumn="0" w:noHBand="0" w:noVBand="1"/>
      </w:tblPr>
      <w:tblGrid>
        <w:gridCol w:w="5490"/>
        <w:gridCol w:w="1620"/>
      </w:tblGrid>
      <w:tr w:rsidR="005E1DEA" w:rsidRPr="00C541A2" w14:paraId="5C24FF55" w14:textId="77777777" w:rsidTr="004D0B4F">
        <w:trPr>
          <w:trHeight w:val="300"/>
          <w:jc w:val="center"/>
        </w:trPr>
        <w:tc>
          <w:tcPr>
            <w:tcW w:w="5490" w:type="dxa"/>
            <w:tcBorders>
              <w:top w:val="single" w:sz="4" w:space="0" w:color="auto"/>
              <w:left w:val="nil"/>
              <w:bottom w:val="single" w:sz="4" w:space="0" w:color="auto"/>
              <w:right w:val="nil"/>
            </w:tcBorders>
            <w:noWrap/>
            <w:hideMark/>
          </w:tcPr>
          <w:p w14:paraId="2895B504" w14:textId="77777777" w:rsidR="005E1DEA" w:rsidRPr="00C541A2" w:rsidRDefault="005E1DEA" w:rsidP="004D0B4F">
            <w:pPr>
              <w:widowControl/>
              <w:autoSpaceDE/>
              <w:autoSpaceDN/>
              <w:contextualSpacing/>
              <w:jc w:val="both"/>
              <w:rPr>
                <w:rFonts w:cstheme="minorHAnsi"/>
                <w:b/>
                <w:bCs/>
              </w:rPr>
            </w:pPr>
            <w:r w:rsidRPr="00C541A2">
              <w:rPr>
                <w:rFonts w:cstheme="minorHAnsi"/>
                <w:b/>
                <w:bCs/>
              </w:rPr>
              <w:t>Response Variable</w:t>
            </w:r>
          </w:p>
        </w:tc>
        <w:tc>
          <w:tcPr>
            <w:tcW w:w="1620" w:type="dxa"/>
            <w:tcBorders>
              <w:top w:val="single" w:sz="4" w:space="0" w:color="auto"/>
              <w:left w:val="nil"/>
              <w:bottom w:val="single" w:sz="4" w:space="0" w:color="auto"/>
              <w:right w:val="nil"/>
            </w:tcBorders>
          </w:tcPr>
          <w:p w14:paraId="124E2D1A" w14:textId="77777777" w:rsidR="005E1DEA" w:rsidRPr="00C541A2" w:rsidRDefault="005E1DEA" w:rsidP="004D0B4F">
            <w:pPr>
              <w:widowControl/>
              <w:autoSpaceDE/>
              <w:autoSpaceDN/>
              <w:contextualSpacing/>
              <w:jc w:val="both"/>
              <w:rPr>
                <w:rFonts w:cstheme="minorHAnsi"/>
                <w:b/>
                <w:bCs/>
              </w:rPr>
            </w:pPr>
            <w:r>
              <w:rPr>
                <w:rFonts w:cstheme="minorHAnsi"/>
                <w:b/>
                <w:bCs/>
              </w:rPr>
              <w:t>Variable Type</w:t>
            </w:r>
          </w:p>
        </w:tc>
      </w:tr>
      <w:tr w:rsidR="005E1DEA" w:rsidRPr="00C541A2" w14:paraId="43C66981" w14:textId="77777777" w:rsidTr="004D0B4F">
        <w:trPr>
          <w:trHeight w:val="300"/>
          <w:jc w:val="center"/>
        </w:trPr>
        <w:tc>
          <w:tcPr>
            <w:tcW w:w="5490" w:type="dxa"/>
            <w:tcBorders>
              <w:top w:val="single" w:sz="4" w:space="0" w:color="auto"/>
              <w:left w:val="nil"/>
              <w:bottom w:val="single" w:sz="4" w:space="0" w:color="auto"/>
              <w:right w:val="nil"/>
            </w:tcBorders>
            <w:noWrap/>
            <w:hideMark/>
          </w:tcPr>
          <w:p w14:paraId="12644543" w14:textId="77777777" w:rsidR="005E1DEA" w:rsidRPr="00C541A2" w:rsidRDefault="005E1DEA" w:rsidP="004D0B4F">
            <w:pPr>
              <w:widowControl/>
              <w:autoSpaceDE/>
              <w:autoSpaceDN/>
              <w:contextualSpacing/>
              <w:jc w:val="both"/>
              <w:rPr>
                <w:rFonts w:cstheme="minorHAnsi"/>
              </w:rPr>
            </w:pPr>
            <w:r w:rsidRPr="00C541A2">
              <w:rPr>
                <w:rFonts w:cstheme="minorHAnsi"/>
              </w:rPr>
              <w:t>Annual Change in Maximum Unobstructed Channel Width</w:t>
            </w:r>
          </w:p>
        </w:tc>
        <w:tc>
          <w:tcPr>
            <w:tcW w:w="1620" w:type="dxa"/>
            <w:tcBorders>
              <w:top w:val="single" w:sz="4" w:space="0" w:color="auto"/>
              <w:left w:val="nil"/>
              <w:bottom w:val="single" w:sz="4" w:space="0" w:color="auto"/>
              <w:right w:val="nil"/>
            </w:tcBorders>
          </w:tcPr>
          <w:p w14:paraId="2BC1C59A" w14:textId="77777777" w:rsidR="005E1DEA" w:rsidRPr="00C541A2" w:rsidRDefault="005E1DEA" w:rsidP="004D0B4F">
            <w:pPr>
              <w:widowControl/>
              <w:autoSpaceDE/>
              <w:autoSpaceDN/>
              <w:contextualSpacing/>
              <w:jc w:val="both"/>
              <w:rPr>
                <w:rFonts w:cstheme="minorHAnsi"/>
              </w:rPr>
            </w:pPr>
            <w:r>
              <w:rPr>
                <w:rFonts w:cstheme="minorHAnsi"/>
              </w:rPr>
              <w:t>Channel Width</w:t>
            </w:r>
          </w:p>
        </w:tc>
      </w:tr>
      <w:tr w:rsidR="005E1DEA" w:rsidRPr="00C541A2" w14:paraId="7F1CC3F0" w14:textId="77777777" w:rsidTr="004D0B4F">
        <w:trPr>
          <w:trHeight w:val="300"/>
          <w:jc w:val="center"/>
        </w:trPr>
        <w:tc>
          <w:tcPr>
            <w:tcW w:w="5490" w:type="dxa"/>
            <w:tcBorders>
              <w:top w:val="single" w:sz="4" w:space="0" w:color="auto"/>
              <w:left w:val="nil"/>
              <w:bottom w:val="single" w:sz="4" w:space="0" w:color="auto"/>
              <w:right w:val="nil"/>
            </w:tcBorders>
            <w:noWrap/>
            <w:hideMark/>
          </w:tcPr>
          <w:p w14:paraId="2DCA5B6C" w14:textId="77777777" w:rsidR="005E1DEA" w:rsidRPr="00C541A2" w:rsidRDefault="005E1DEA" w:rsidP="004D0B4F">
            <w:pPr>
              <w:widowControl/>
              <w:autoSpaceDE/>
              <w:autoSpaceDN/>
              <w:contextualSpacing/>
              <w:jc w:val="both"/>
              <w:rPr>
                <w:rFonts w:cstheme="minorHAnsi"/>
                <w:b/>
                <w:bCs/>
              </w:rPr>
            </w:pPr>
            <w:r w:rsidRPr="00C541A2">
              <w:rPr>
                <w:rFonts w:cstheme="minorHAnsi"/>
                <w:b/>
                <w:bCs/>
              </w:rPr>
              <w:t>Explanatory Variables</w:t>
            </w:r>
          </w:p>
        </w:tc>
        <w:tc>
          <w:tcPr>
            <w:tcW w:w="1620" w:type="dxa"/>
            <w:tcBorders>
              <w:top w:val="single" w:sz="4" w:space="0" w:color="auto"/>
              <w:left w:val="nil"/>
              <w:bottom w:val="single" w:sz="4" w:space="0" w:color="auto"/>
              <w:right w:val="nil"/>
            </w:tcBorders>
          </w:tcPr>
          <w:p w14:paraId="472204BE" w14:textId="77777777" w:rsidR="005E1DEA" w:rsidRPr="00C541A2" w:rsidRDefault="005E1DEA" w:rsidP="004D0B4F">
            <w:pPr>
              <w:widowControl/>
              <w:autoSpaceDE/>
              <w:autoSpaceDN/>
              <w:contextualSpacing/>
              <w:jc w:val="both"/>
              <w:rPr>
                <w:rFonts w:cstheme="minorHAnsi"/>
                <w:b/>
                <w:bCs/>
              </w:rPr>
            </w:pPr>
          </w:p>
        </w:tc>
      </w:tr>
      <w:tr w:rsidR="005E1DEA" w:rsidRPr="00C541A2" w14:paraId="10A36DE2" w14:textId="77777777" w:rsidTr="004D0B4F">
        <w:trPr>
          <w:trHeight w:val="300"/>
          <w:jc w:val="center"/>
        </w:trPr>
        <w:tc>
          <w:tcPr>
            <w:tcW w:w="5490" w:type="dxa"/>
            <w:tcBorders>
              <w:top w:val="single" w:sz="4" w:space="0" w:color="auto"/>
              <w:left w:val="nil"/>
              <w:bottom w:val="nil"/>
              <w:right w:val="nil"/>
            </w:tcBorders>
            <w:noWrap/>
            <w:hideMark/>
          </w:tcPr>
          <w:p w14:paraId="0D95C301" w14:textId="77777777" w:rsidR="005E1DEA" w:rsidRPr="00C541A2" w:rsidRDefault="005E1DEA" w:rsidP="004D0B4F">
            <w:pPr>
              <w:widowControl/>
              <w:autoSpaceDE/>
              <w:autoSpaceDN/>
              <w:contextualSpacing/>
              <w:jc w:val="both"/>
              <w:rPr>
                <w:rFonts w:cstheme="minorHAnsi"/>
              </w:rPr>
            </w:pPr>
            <w:r w:rsidRPr="00C541A2">
              <w:rPr>
                <w:rFonts w:cstheme="minorHAnsi"/>
              </w:rPr>
              <w:t>Previous Year Maximum Unobstructed Channel Width</w:t>
            </w:r>
          </w:p>
        </w:tc>
        <w:tc>
          <w:tcPr>
            <w:tcW w:w="1620" w:type="dxa"/>
            <w:tcBorders>
              <w:top w:val="single" w:sz="4" w:space="0" w:color="auto"/>
              <w:left w:val="nil"/>
              <w:bottom w:val="nil"/>
              <w:right w:val="nil"/>
            </w:tcBorders>
          </w:tcPr>
          <w:p w14:paraId="4566B7BB" w14:textId="77777777" w:rsidR="005E1DEA" w:rsidRPr="00C541A2" w:rsidRDefault="005E1DEA" w:rsidP="004D0B4F">
            <w:pPr>
              <w:widowControl/>
              <w:autoSpaceDE/>
              <w:autoSpaceDN/>
              <w:contextualSpacing/>
              <w:jc w:val="both"/>
              <w:rPr>
                <w:rFonts w:cstheme="minorHAnsi"/>
              </w:rPr>
            </w:pPr>
            <w:r>
              <w:rPr>
                <w:rFonts w:cstheme="minorHAnsi"/>
              </w:rPr>
              <w:t>Channel Width</w:t>
            </w:r>
          </w:p>
        </w:tc>
      </w:tr>
      <w:tr w:rsidR="005E1DEA" w:rsidRPr="00C541A2" w14:paraId="2A7E952D" w14:textId="77777777" w:rsidTr="004D0B4F">
        <w:trPr>
          <w:trHeight w:val="300"/>
          <w:jc w:val="center"/>
        </w:trPr>
        <w:tc>
          <w:tcPr>
            <w:tcW w:w="5490" w:type="dxa"/>
            <w:tcBorders>
              <w:top w:val="nil"/>
              <w:left w:val="nil"/>
              <w:bottom w:val="nil"/>
              <w:right w:val="nil"/>
            </w:tcBorders>
            <w:noWrap/>
            <w:hideMark/>
          </w:tcPr>
          <w:p w14:paraId="68BB2E9F" w14:textId="77777777" w:rsidR="005E1DEA" w:rsidRPr="00C541A2" w:rsidRDefault="005E1DEA" w:rsidP="004D0B4F">
            <w:pPr>
              <w:widowControl/>
              <w:autoSpaceDE/>
              <w:autoSpaceDN/>
              <w:contextualSpacing/>
              <w:jc w:val="both"/>
              <w:rPr>
                <w:rFonts w:cstheme="minorHAnsi"/>
              </w:rPr>
            </w:pPr>
            <w:r w:rsidRPr="00C541A2">
              <w:rPr>
                <w:rFonts w:cstheme="minorHAnsi"/>
              </w:rPr>
              <w:t xml:space="preserve">Average June </w:t>
            </w:r>
            <w:proofErr w:type="spellStart"/>
            <w:r w:rsidRPr="00C541A2">
              <w:rPr>
                <w:rFonts w:cstheme="minorHAnsi"/>
              </w:rPr>
              <w:t>Flow</w:t>
            </w:r>
            <w:r w:rsidRPr="00D443D4">
              <w:rPr>
                <w:rFonts w:cstheme="minorHAnsi"/>
                <w:vertAlign w:val="superscript"/>
              </w:rPr>
              <w:t>a</w:t>
            </w:r>
            <w:proofErr w:type="spellEnd"/>
          </w:p>
        </w:tc>
        <w:tc>
          <w:tcPr>
            <w:tcW w:w="1620" w:type="dxa"/>
            <w:vMerge w:val="restart"/>
            <w:tcBorders>
              <w:top w:val="nil"/>
              <w:left w:val="nil"/>
              <w:right w:val="nil"/>
            </w:tcBorders>
            <w:vAlign w:val="center"/>
          </w:tcPr>
          <w:p w14:paraId="6FF87A74" w14:textId="77777777" w:rsidR="005E1DEA" w:rsidRPr="00C541A2" w:rsidRDefault="005E1DEA" w:rsidP="004D0B4F">
            <w:pPr>
              <w:widowControl/>
              <w:autoSpaceDE/>
              <w:autoSpaceDN/>
              <w:contextualSpacing/>
              <w:rPr>
                <w:rFonts w:cstheme="minorHAnsi"/>
              </w:rPr>
            </w:pPr>
            <w:r>
              <w:rPr>
                <w:rFonts w:cstheme="minorHAnsi"/>
              </w:rPr>
              <w:t>Flow</w:t>
            </w:r>
          </w:p>
        </w:tc>
      </w:tr>
      <w:tr w:rsidR="005E1DEA" w:rsidRPr="00C541A2" w14:paraId="7E5796DB" w14:textId="77777777" w:rsidTr="004D0B4F">
        <w:trPr>
          <w:trHeight w:val="300"/>
          <w:jc w:val="center"/>
        </w:trPr>
        <w:tc>
          <w:tcPr>
            <w:tcW w:w="5490" w:type="dxa"/>
            <w:tcBorders>
              <w:top w:val="nil"/>
              <w:left w:val="nil"/>
              <w:bottom w:val="nil"/>
              <w:right w:val="nil"/>
            </w:tcBorders>
            <w:noWrap/>
            <w:hideMark/>
          </w:tcPr>
          <w:p w14:paraId="552D9B84" w14:textId="77777777" w:rsidR="005E1DEA" w:rsidRPr="00C541A2" w:rsidRDefault="005E1DEA" w:rsidP="004D0B4F">
            <w:pPr>
              <w:widowControl/>
              <w:autoSpaceDE/>
              <w:autoSpaceDN/>
              <w:contextualSpacing/>
              <w:jc w:val="both"/>
              <w:rPr>
                <w:rFonts w:cstheme="minorHAnsi"/>
              </w:rPr>
            </w:pPr>
            <w:r w:rsidRPr="00C541A2">
              <w:rPr>
                <w:rFonts w:cstheme="minorHAnsi"/>
              </w:rPr>
              <w:t>40-day mean peak discharge (Year-1)</w:t>
            </w:r>
            <w:r w:rsidRPr="00D443D4">
              <w:rPr>
                <w:rFonts w:cstheme="minorHAnsi"/>
                <w:vertAlign w:val="superscript"/>
              </w:rPr>
              <w:t>b</w:t>
            </w:r>
          </w:p>
        </w:tc>
        <w:tc>
          <w:tcPr>
            <w:tcW w:w="1620" w:type="dxa"/>
            <w:vMerge/>
            <w:tcBorders>
              <w:left w:val="nil"/>
              <w:right w:val="nil"/>
            </w:tcBorders>
          </w:tcPr>
          <w:p w14:paraId="51B3EB52" w14:textId="77777777" w:rsidR="005E1DEA" w:rsidRPr="00C541A2" w:rsidRDefault="005E1DEA" w:rsidP="004D0B4F">
            <w:pPr>
              <w:widowControl/>
              <w:autoSpaceDE/>
              <w:autoSpaceDN/>
              <w:contextualSpacing/>
              <w:jc w:val="both"/>
              <w:rPr>
                <w:rFonts w:cstheme="minorHAnsi"/>
              </w:rPr>
            </w:pPr>
          </w:p>
        </w:tc>
      </w:tr>
      <w:tr w:rsidR="005E1DEA" w:rsidRPr="00C541A2" w14:paraId="5D20277E" w14:textId="77777777" w:rsidTr="004D0B4F">
        <w:trPr>
          <w:trHeight w:val="300"/>
          <w:jc w:val="center"/>
        </w:trPr>
        <w:tc>
          <w:tcPr>
            <w:tcW w:w="5490" w:type="dxa"/>
            <w:tcBorders>
              <w:top w:val="nil"/>
              <w:left w:val="nil"/>
              <w:bottom w:val="nil"/>
              <w:right w:val="nil"/>
            </w:tcBorders>
            <w:noWrap/>
            <w:hideMark/>
          </w:tcPr>
          <w:p w14:paraId="0143493F" w14:textId="77777777" w:rsidR="005E1DEA" w:rsidRPr="00C541A2" w:rsidRDefault="005E1DEA" w:rsidP="004D0B4F">
            <w:pPr>
              <w:widowControl/>
              <w:autoSpaceDE/>
              <w:autoSpaceDN/>
              <w:contextualSpacing/>
              <w:jc w:val="both"/>
              <w:rPr>
                <w:rFonts w:cstheme="minorHAnsi"/>
              </w:rPr>
            </w:pPr>
            <w:r w:rsidRPr="00C541A2">
              <w:rPr>
                <w:rFonts w:cstheme="minorHAnsi"/>
              </w:rPr>
              <w:t>40-day mean peak discharge (Year-2)</w:t>
            </w:r>
            <w:r w:rsidRPr="003D7F70">
              <w:rPr>
                <w:rFonts w:cstheme="minorHAnsi"/>
                <w:vertAlign w:val="superscript"/>
              </w:rPr>
              <w:t xml:space="preserve"> b</w:t>
            </w:r>
          </w:p>
        </w:tc>
        <w:tc>
          <w:tcPr>
            <w:tcW w:w="1620" w:type="dxa"/>
            <w:vMerge/>
            <w:tcBorders>
              <w:left w:val="nil"/>
              <w:right w:val="nil"/>
            </w:tcBorders>
          </w:tcPr>
          <w:p w14:paraId="0D5DA8C4" w14:textId="77777777" w:rsidR="005E1DEA" w:rsidRPr="00C541A2" w:rsidRDefault="005E1DEA" w:rsidP="004D0B4F">
            <w:pPr>
              <w:widowControl/>
              <w:autoSpaceDE/>
              <w:autoSpaceDN/>
              <w:contextualSpacing/>
              <w:jc w:val="both"/>
              <w:rPr>
                <w:rFonts w:cstheme="minorHAnsi"/>
              </w:rPr>
            </w:pPr>
          </w:p>
        </w:tc>
      </w:tr>
      <w:tr w:rsidR="005E1DEA" w:rsidRPr="00C541A2" w14:paraId="354331D3" w14:textId="77777777" w:rsidTr="004D0B4F">
        <w:trPr>
          <w:trHeight w:val="300"/>
          <w:jc w:val="center"/>
        </w:trPr>
        <w:tc>
          <w:tcPr>
            <w:tcW w:w="5490" w:type="dxa"/>
            <w:tcBorders>
              <w:top w:val="nil"/>
              <w:left w:val="nil"/>
              <w:bottom w:val="nil"/>
              <w:right w:val="nil"/>
            </w:tcBorders>
            <w:noWrap/>
            <w:hideMark/>
          </w:tcPr>
          <w:p w14:paraId="3597EC45" w14:textId="77777777" w:rsidR="005E1DEA" w:rsidRPr="00C541A2" w:rsidRDefault="005E1DEA" w:rsidP="004D0B4F">
            <w:pPr>
              <w:widowControl/>
              <w:autoSpaceDE/>
              <w:autoSpaceDN/>
              <w:contextualSpacing/>
              <w:jc w:val="both"/>
              <w:rPr>
                <w:rFonts w:cstheme="minorHAnsi"/>
              </w:rPr>
            </w:pPr>
            <w:r w:rsidRPr="00C541A2">
              <w:rPr>
                <w:rFonts w:cstheme="minorHAnsi"/>
              </w:rPr>
              <w:t>40-day mean peak discharge (Year-3)</w:t>
            </w:r>
            <w:r w:rsidRPr="003D7F70">
              <w:rPr>
                <w:rFonts w:cstheme="minorHAnsi"/>
                <w:vertAlign w:val="superscript"/>
              </w:rPr>
              <w:t xml:space="preserve"> b</w:t>
            </w:r>
          </w:p>
        </w:tc>
        <w:tc>
          <w:tcPr>
            <w:tcW w:w="1620" w:type="dxa"/>
            <w:vMerge/>
            <w:tcBorders>
              <w:left w:val="nil"/>
              <w:right w:val="nil"/>
            </w:tcBorders>
          </w:tcPr>
          <w:p w14:paraId="204FECFC" w14:textId="77777777" w:rsidR="005E1DEA" w:rsidRPr="00C541A2" w:rsidRDefault="005E1DEA" w:rsidP="004D0B4F">
            <w:pPr>
              <w:widowControl/>
              <w:autoSpaceDE/>
              <w:autoSpaceDN/>
              <w:contextualSpacing/>
              <w:jc w:val="both"/>
              <w:rPr>
                <w:rFonts w:cstheme="minorHAnsi"/>
              </w:rPr>
            </w:pPr>
          </w:p>
        </w:tc>
      </w:tr>
      <w:tr w:rsidR="005E1DEA" w:rsidRPr="00C541A2" w14:paraId="0186E78D" w14:textId="77777777" w:rsidTr="004D0B4F">
        <w:trPr>
          <w:trHeight w:val="300"/>
          <w:jc w:val="center"/>
        </w:trPr>
        <w:tc>
          <w:tcPr>
            <w:tcW w:w="5490" w:type="dxa"/>
            <w:tcBorders>
              <w:top w:val="nil"/>
              <w:left w:val="nil"/>
              <w:bottom w:val="nil"/>
              <w:right w:val="nil"/>
            </w:tcBorders>
            <w:noWrap/>
            <w:hideMark/>
          </w:tcPr>
          <w:p w14:paraId="6DDB40EB" w14:textId="77777777" w:rsidR="005E1DEA" w:rsidRPr="00C541A2" w:rsidRDefault="005E1DEA" w:rsidP="004D0B4F">
            <w:pPr>
              <w:widowControl/>
              <w:autoSpaceDE/>
              <w:autoSpaceDN/>
              <w:contextualSpacing/>
              <w:jc w:val="both"/>
              <w:rPr>
                <w:rFonts w:cstheme="minorHAnsi"/>
              </w:rPr>
            </w:pPr>
            <w:r w:rsidRPr="00C541A2">
              <w:rPr>
                <w:rFonts w:cstheme="minorHAnsi"/>
              </w:rPr>
              <w:t>40-day mean peak discharge (Year-4)</w:t>
            </w:r>
            <w:r w:rsidRPr="003D7F70">
              <w:rPr>
                <w:rFonts w:cstheme="minorHAnsi"/>
                <w:vertAlign w:val="superscript"/>
              </w:rPr>
              <w:t xml:space="preserve"> b</w:t>
            </w:r>
          </w:p>
        </w:tc>
        <w:tc>
          <w:tcPr>
            <w:tcW w:w="1620" w:type="dxa"/>
            <w:vMerge/>
            <w:tcBorders>
              <w:left w:val="nil"/>
              <w:right w:val="nil"/>
            </w:tcBorders>
          </w:tcPr>
          <w:p w14:paraId="0F566C56" w14:textId="77777777" w:rsidR="005E1DEA" w:rsidRPr="00C541A2" w:rsidRDefault="005E1DEA" w:rsidP="004D0B4F">
            <w:pPr>
              <w:widowControl/>
              <w:autoSpaceDE/>
              <w:autoSpaceDN/>
              <w:contextualSpacing/>
              <w:jc w:val="both"/>
              <w:rPr>
                <w:rFonts w:cstheme="minorHAnsi"/>
              </w:rPr>
            </w:pPr>
          </w:p>
        </w:tc>
      </w:tr>
      <w:tr w:rsidR="005E1DEA" w:rsidRPr="00C541A2" w14:paraId="14F63D11" w14:textId="77777777" w:rsidTr="004D0B4F">
        <w:trPr>
          <w:trHeight w:val="300"/>
          <w:jc w:val="center"/>
        </w:trPr>
        <w:tc>
          <w:tcPr>
            <w:tcW w:w="5490" w:type="dxa"/>
            <w:tcBorders>
              <w:top w:val="nil"/>
              <w:left w:val="nil"/>
              <w:bottom w:val="nil"/>
              <w:right w:val="nil"/>
            </w:tcBorders>
            <w:noWrap/>
          </w:tcPr>
          <w:p w14:paraId="2F6DCA90" w14:textId="77777777" w:rsidR="005E1DEA" w:rsidRPr="00C541A2" w:rsidRDefault="005E1DEA" w:rsidP="004D0B4F">
            <w:pPr>
              <w:contextualSpacing/>
              <w:jc w:val="both"/>
              <w:rPr>
                <w:rFonts w:cstheme="minorHAnsi"/>
              </w:rPr>
            </w:pPr>
            <w:r>
              <w:rPr>
                <w:rFonts w:cstheme="minorHAnsi"/>
              </w:rPr>
              <w:t>Winter Flows</w:t>
            </w:r>
          </w:p>
        </w:tc>
        <w:tc>
          <w:tcPr>
            <w:tcW w:w="1620" w:type="dxa"/>
            <w:vMerge/>
            <w:tcBorders>
              <w:left w:val="nil"/>
              <w:bottom w:val="nil"/>
              <w:right w:val="nil"/>
            </w:tcBorders>
          </w:tcPr>
          <w:p w14:paraId="2200D4F3" w14:textId="77777777" w:rsidR="005E1DEA" w:rsidRDefault="005E1DEA" w:rsidP="004D0B4F">
            <w:pPr>
              <w:contextualSpacing/>
              <w:jc w:val="both"/>
              <w:rPr>
                <w:rFonts w:cstheme="minorHAnsi"/>
              </w:rPr>
            </w:pPr>
          </w:p>
        </w:tc>
      </w:tr>
      <w:tr w:rsidR="005E1DEA" w:rsidRPr="00C541A2" w14:paraId="5995DE3D" w14:textId="77777777" w:rsidTr="004D0B4F">
        <w:trPr>
          <w:trHeight w:val="300"/>
          <w:jc w:val="center"/>
        </w:trPr>
        <w:tc>
          <w:tcPr>
            <w:tcW w:w="5490" w:type="dxa"/>
            <w:tcBorders>
              <w:top w:val="nil"/>
              <w:left w:val="nil"/>
              <w:bottom w:val="nil"/>
              <w:right w:val="nil"/>
            </w:tcBorders>
            <w:noWrap/>
            <w:hideMark/>
          </w:tcPr>
          <w:p w14:paraId="45917BA5" w14:textId="77777777" w:rsidR="005E1DEA" w:rsidRPr="00C541A2" w:rsidRDefault="005E1DEA" w:rsidP="004D0B4F">
            <w:pPr>
              <w:widowControl/>
              <w:autoSpaceDE/>
              <w:autoSpaceDN/>
              <w:contextualSpacing/>
              <w:jc w:val="both"/>
              <w:rPr>
                <w:rFonts w:cstheme="minorHAnsi"/>
              </w:rPr>
            </w:pPr>
            <w:r w:rsidRPr="00C541A2">
              <w:rPr>
                <w:rFonts w:cstheme="minorHAnsi"/>
              </w:rPr>
              <w:t>River Channel Disking</w:t>
            </w:r>
          </w:p>
        </w:tc>
        <w:tc>
          <w:tcPr>
            <w:tcW w:w="1620" w:type="dxa"/>
            <w:tcBorders>
              <w:top w:val="nil"/>
              <w:left w:val="nil"/>
              <w:bottom w:val="nil"/>
              <w:right w:val="nil"/>
            </w:tcBorders>
          </w:tcPr>
          <w:p w14:paraId="79414F8D" w14:textId="77777777" w:rsidR="005E1DEA" w:rsidRPr="00C541A2" w:rsidRDefault="005E1DEA" w:rsidP="004D0B4F">
            <w:pPr>
              <w:widowControl/>
              <w:autoSpaceDE/>
              <w:autoSpaceDN/>
              <w:contextualSpacing/>
              <w:jc w:val="both"/>
              <w:rPr>
                <w:rFonts w:cstheme="minorHAnsi"/>
              </w:rPr>
            </w:pPr>
            <w:r>
              <w:rPr>
                <w:rFonts w:cstheme="minorHAnsi"/>
              </w:rPr>
              <w:t>Management</w:t>
            </w:r>
          </w:p>
        </w:tc>
      </w:tr>
      <w:tr w:rsidR="005E1DEA" w:rsidRPr="00C541A2" w14:paraId="62806812" w14:textId="77777777" w:rsidTr="004D0B4F">
        <w:trPr>
          <w:trHeight w:val="300"/>
          <w:jc w:val="center"/>
        </w:trPr>
        <w:tc>
          <w:tcPr>
            <w:tcW w:w="5490" w:type="dxa"/>
            <w:tcBorders>
              <w:top w:val="nil"/>
              <w:left w:val="nil"/>
              <w:bottom w:val="nil"/>
              <w:right w:val="nil"/>
            </w:tcBorders>
            <w:noWrap/>
            <w:hideMark/>
          </w:tcPr>
          <w:p w14:paraId="657BBA7A" w14:textId="77777777" w:rsidR="005E1DEA" w:rsidRPr="00C541A2" w:rsidRDefault="005E1DEA" w:rsidP="004D0B4F">
            <w:pPr>
              <w:widowControl/>
              <w:autoSpaceDE/>
              <w:autoSpaceDN/>
              <w:contextualSpacing/>
              <w:jc w:val="both"/>
              <w:rPr>
                <w:rFonts w:cstheme="minorHAnsi"/>
              </w:rPr>
            </w:pPr>
            <w:r w:rsidRPr="00C541A2">
              <w:rPr>
                <w:rFonts w:cstheme="minorHAnsi"/>
              </w:rPr>
              <w:t>Herbicide Application</w:t>
            </w:r>
          </w:p>
        </w:tc>
        <w:tc>
          <w:tcPr>
            <w:tcW w:w="1620" w:type="dxa"/>
            <w:tcBorders>
              <w:top w:val="nil"/>
              <w:left w:val="nil"/>
              <w:bottom w:val="nil"/>
              <w:right w:val="nil"/>
            </w:tcBorders>
          </w:tcPr>
          <w:p w14:paraId="56ADBEDF" w14:textId="77777777" w:rsidR="005E1DEA" w:rsidRPr="00C541A2" w:rsidRDefault="005E1DEA" w:rsidP="004D0B4F">
            <w:pPr>
              <w:widowControl/>
              <w:autoSpaceDE/>
              <w:autoSpaceDN/>
              <w:contextualSpacing/>
              <w:jc w:val="both"/>
              <w:rPr>
                <w:rFonts w:cstheme="minorHAnsi"/>
              </w:rPr>
            </w:pPr>
            <w:r>
              <w:rPr>
                <w:rFonts w:cstheme="minorHAnsi"/>
              </w:rPr>
              <w:t>Management</w:t>
            </w:r>
          </w:p>
        </w:tc>
      </w:tr>
      <w:tr w:rsidR="005E1DEA" w:rsidRPr="00C541A2" w14:paraId="6D193102" w14:textId="77777777" w:rsidTr="004D0B4F">
        <w:trPr>
          <w:trHeight w:val="300"/>
          <w:jc w:val="center"/>
        </w:trPr>
        <w:tc>
          <w:tcPr>
            <w:tcW w:w="5490" w:type="dxa"/>
            <w:tcBorders>
              <w:top w:val="nil"/>
              <w:left w:val="nil"/>
              <w:bottom w:val="nil"/>
              <w:right w:val="nil"/>
            </w:tcBorders>
            <w:noWrap/>
            <w:hideMark/>
          </w:tcPr>
          <w:p w14:paraId="73256C6D" w14:textId="77777777" w:rsidR="005E1DEA" w:rsidRPr="00C541A2" w:rsidRDefault="005E1DEA" w:rsidP="004D0B4F">
            <w:pPr>
              <w:widowControl/>
              <w:autoSpaceDE/>
              <w:autoSpaceDN/>
              <w:contextualSpacing/>
              <w:jc w:val="both"/>
              <w:rPr>
                <w:rFonts w:cstheme="minorHAnsi"/>
              </w:rPr>
            </w:pPr>
            <w:r w:rsidRPr="00C541A2">
              <w:rPr>
                <w:rFonts w:cstheme="minorHAnsi"/>
              </w:rPr>
              <w:t>Wetted Width at Bankfull Discharge</w:t>
            </w:r>
          </w:p>
        </w:tc>
        <w:tc>
          <w:tcPr>
            <w:tcW w:w="1620" w:type="dxa"/>
            <w:tcBorders>
              <w:top w:val="nil"/>
              <w:left w:val="nil"/>
              <w:bottom w:val="nil"/>
              <w:right w:val="nil"/>
            </w:tcBorders>
          </w:tcPr>
          <w:p w14:paraId="7DBD9565" w14:textId="77777777" w:rsidR="005E1DEA" w:rsidRPr="00C541A2" w:rsidRDefault="005E1DEA" w:rsidP="004D0B4F">
            <w:pPr>
              <w:widowControl/>
              <w:autoSpaceDE/>
              <w:autoSpaceDN/>
              <w:contextualSpacing/>
              <w:jc w:val="both"/>
              <w:rPr>
                <w:rFonts w:cstheme="minorHAnsi"/>
              </w:rPr>
            </w:pPr>
            <w:r>
              <w:rPr>
                <w:rFonts w:cstheme="minorHAnsi"/>
              </w:rPr>
              <w:t>Geomorphic</w:t>
            </w:r>
          </w:p>
        </w:tc>
      </w:tr>
      <w:tr w:rsidR="005E1DEA" w:rsidRPr="00C541A2" w14:paraId="159FCDD1" w14:textId="77777777" w:rsidTr="004D0B4F">
        <w:trPr>
          <w:trHeight w:val="300"/>
          <w:jc w:val="center"/>
        </w:trPr>
        <w:tc>
          <w:tcPr>
            <w:tcW w:w="5490" w:type="dxa"/>
            <w:tcBorders>
              <w:top w:val="nil"/>
              <w:left w:val="nil"/>
              <w:bottom w:val="nil"/>
              <w:right w:val="nil"/>
            </w:tcBorders>
            <w:noWrap/>
          </w:tcPr>
          <w:p w14:paraId="7A7A1A86" w14:textId="77777777" w:rsidR="005E1DEA" w:rsidRPr="00C541A2" w:rsidRDefault="005E1DEA" w:rsidP="004D0B4F">
            <w:pPr>
              <w:contextualSpacing/>
              <w:jc w:val="both"/>
              <w:rPr>
                <w:rFonts w:cstheme="minorHAnsi"/>
              </w:rPr>
            </w:pPr>
            <w:r>
              <w:rPr>
                <w:rFonts w:cstheme="minorHAnsi"/>
              </w:rPr>
              <w:t>Flow Consolidation</w:t>
            </w:r>
          </w:p>
        </w:tc>
        <w:tc>
          <w:tcPr>
            <w:tcW w:w="1620" w:type="dxa"/>
            <w:tcBorders>
              <w:top w:val="nil"/>
              <w:left w:val="nil"/>
              <w:bottom w:val="nil"/>
              <w:right w:val="nil"/>
            </w:tcBorders>
          </w:tcPr>
          <w:p w14:paraId="3958902D" w14:textId="77777777" w:rsidR="005E1DEA" w:rsidRDefault="005E1DEA" w:rsidP="004D0B4F">
            <w:pPr>
              <w:contextualSpacing/>
              <w:jc w:val="both"/>
              <w:rPr>
                <w:rFonts w:cstheme="minorHAnsi"/>
              </w:rPr>
            </w:pPr>
            <w:r>
              <w:rPr>
                <w:rFonts w:cstheme="minorHAnsi"/>
              </w:rPr>
              <w:t>Geomorphic</w:t>
            </w:r>
          </w:p>
        </w:tc>
      </w:tr>
      <w:tr w:rsidR="005E1DEA" w:rsidRPr="00C541A2" w14:paraId="4653FD2A" w14:textId="77777777" w:rsidTr="004D0B4F">
        <w:trPr>
          <w:trHeight w:val="300"/>
          <w:jc w:val="center"/>
        </w:trPr>
        <w:tc>
          <w:tcPr>
            <w:tcW w:w="5490" w:type="dxa"/>
            <w:tcBorders>
              <w:top w:val="nil"/>
              <w:left w:val="nil"/>
              <w:bottom w:val="single" w:sz="4" w:space="0" w:color="auto"/>
              <w:right w:val="nil"/>
            </w:tcBorders>
            <w:noWrap/>
            <w:hideMark/>
          </w:tcPr>
          <w:p w14:paraId="2EA778A2" w14:textId="77777777" w:rsidR="005E1DEA" w:rsidRPr="00C541A2" w:rsidRDefault="005E1DEA" w:rsidP="004D0B4F">
            <w:pPr>
              <w:widowControl/>
              <w:autoSpaceDE/>
              <w:autoSpaceDN/>
              <w:contextualSpacing/>
              <w:jc w:val="both"/>
              <w:rPr>
                <w:rFonts w:cstheme="minorHAnsi"/>
              </w:rPr>
            </w:pPr>
            <w:r w:rsidRPr="00C541A2">
              <w:rPr>
                <w:rFonts w:cstheme="minorHAnsi"/>
              </w:rPr>
              <w:t>Geomorphic Reaches</w:t>
            </w:r>
          </w:p>
        </w:tc>
        <w:tc>
          <w:tcPr>
            <w:tcW w:w="1620" w:type="dxa"/>
            <w:tcBorders>
              <w:top w:val="nil"/>
              <w:left w:val="nil"/>
              <w:bottom w:val="single" w:sz="4" w:space="0" w:color="auto"/>
              <w:right w:val="nil"/>
            </w:tcBorders>
          </w:tcPr>
          <w:p w14:paraId="69CBB10C" w14:textId="77777777" w:rsidR="005E1DEA" w:rsidRPr="00C541A2" w:rsidRDefault="005E1DEA" w:rsidP="004D0B4F">
            <w:pPr>
              <w:widowControl/>
              <w:autoSpaceDE/>
              <w:autoSpaceDN/>
              <w:contextualSpacing/>
              <w:jc w:val="both"/>
              <w:rPr>
                <w:rFonts w:cstheme="minorHAnsi"/>
              </w:rPr>
            </w:pPr>
            <w:r>
              <w:rPr>
                <w:rFonts w:cstheme="minorHAnsi"/>
              </w:rPr>
              <w:t>Spatial</w:t>
            </w:r>
          </w:p>
        </w:tc>
      </w:tr>
    </w:tbl>
    <w:p w14:paraId="1F240C00" w14:textId="77777777" w:rsidR="005E1DEA" w:rsidRDefault="005E1DEA" w:rsidP="005E1DEA">
      <w:pPr>
        <w:contextualSpacing/>
        <w:jc w:val="both"/>
        <w:rPr>
          <w:rFonts w:asciiTheme="minorHAnsi" w:hAnsiTheme="minorHAnsi" w:cstheme="minorHAnsi"/>
        </w:rPr>
      </w:pPr>
      <w:proofErr w:type="spellStart"/>
      <w:r>
        <w:rPr>
          <w:rFonts w:asciiTheme="minorHAnsi" w:hAnsiTheme="minorHAnsi" w:cstheme="minorHAnsi"/>
          <w:vertAlign w:val="superscript"/>
        </w:rPr>
        <w:t>a</w:t>
      </w:r>
      <w:r>
        <w:rPr>
          <w:rFonts w:asciiTheme="minorHAnsi" w:hAnsiTheme="minorHAnsi" w:cstheme="minorHAnsi"/>
        </w:rPr>
        <w:t>Average</w:t>
      </w:r>
      <w:proofErr w:type="spellEnd"/>
      <w:r>
        <w:rPr>
          <w:rFonts w:asciiTheme="minorHAnsi" w:hAnsiTheme="minorHAnsi" w:cstheme="minorHAnsi"/>
        </w:rPr>
        <w:t xml:space="preserve"> flow during June, which corresponds to the period of flow release for germination   suppression.</w:t>
      </w:r>
    </w:p>
    <w:p w14:paraId="44ED2A60" w14:textId="77777777" w:rsidR="005E1DEA" w:rsidRDefault="005E1DEA" w:rsidP="005E1DEA">
      <w:pPr>
        <w:contextualSpacing/>
        <w:jc w:val="both"/>
        <w:rPr>
          <w:rFonts w:asciiTheme="minorHAnsi" w:hAnsiTheme="minorHAnsi" w:cstheme="minorHAnsi"/>
        </w:rPr>
      </w:pPr>
      <w:proofErr w:type="spellStart"/>
      <w:r w:rsidRPr="00267466">
        <w:rPr>
          <w:rFonts w:asciiTheme="minorHAnsi" w:hAnsiTheme="minorHAnsi" w:cstheme="minorHAnsi"/>
          <w:vertAlign w:val="superscript"/>
        </w:rPr>
        <w:t>b</w:t>
      </w:r>
      <w:r>
        <w:rPr>
          <w:rFonts w:asciiTheme="minorHAnsi" w:hAnsiTheme="minorHAnsi" w:cstheme="minorHAnsi"/>
        </w:rPr>
        <w:t>Peak</w:t>
      </w:r>
      <w:proofErr w:type="spellEnd"/>
      <w:r>
        <w:rPr>
          <w:rFonts w:asciiTheme="minorHAnsi" w:hAnsiTheme="minorHAnsi" w:cstheme="minorHAnsi"/>
        </w:rPr>
        <w:t xml:space="preserve"> flows from previous years. For example, “Year-1” refers to the peak flow from the prior year, while “Year-2” refers to peak flows from two years prior to the current year. </w:t>
      </w:r>
    </w:p>
    <w:p w14:paraId="522FF8B2" w14:textId="77777777" w:rsidR="005E1DEA" w:rsidRDefault="005E1DEA">
      <w:pPr>
        <w:rPr>
          <w:color w:val="0070C0"/>
          <w:sz w:val="26"/>
          <w:szCs w:val="26"/>
        </w:rPr>
      </w:pPr>
    </w:p>
    <w:p w14:paraId="46C83D03" w14:textId="77777777" w:rsidR="005E1DEA" w:rsidRDefault="005E1DEA" w:rsidP="005E1DEA">
      <w:pPr>
        <w:jc w:val="both"/>
      </w:pPr>
      <w:r w:rsidRPr="005E1DEA">
        <w:rPr>
          <w:b/>
          <w:bCs/>
        </w:rPr>
        <w:t>Table 2.</w:t>
      </w:r>
      <w:r w:rsidRPr="005E1DEA">
        <w:t xml:space="preserve"> Example</w:t>
      </w:r>
      <w:r>
        <w:t xml:space="preserve"> of relationship between inundation and vegetation class change for the Rowe Sanctuary Reach. As noted in table, 95% of the area that remained unvegetated was inundated at a discharge of 1,500 cfs. Conversely, 85% of the area that transitioned from unvegetated to obstructed (&gt; 2ft veg) was above water at 1,500 cfs. </w:t>
      </w:r>
    </w:p>
    <w:tbl>
      <w:tblPr>
        <w:tblStyle w:val="PlainTable1"/>
        <w:tblW w:w="8725" w:type="dxa"/>
        <w:tblLook w:val="04A0" w:firstRow="1" w:lastRow="0" w:firstColumn="1" w:lastColumn="0" w:noHBand="0" w:noVBand="1"/>
      </w:tblPr>
      <w:tblGrid>
        <w:gridCol w:w="2515"/>
        <w:gridCol w:w="2080"/>
        <w:gridCol w:w="2330"/>
        <w:gridCol w:w="1800"/>
      </w:tblGrid>
      <w:tr w:rsidR="005E1DEA" w:rsidRPr="007A1A43" w14:paraId="677E9551" w14:textId="77777777" w:rsidTr="004D0B4F">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15" w:type="dxa"/>
            <w:noWrap/>
            <w:hideMark/>
          </w:tcPr>
          <w:p w14:paraId="0AD97CE7" w14:textId="77777777" w:rsidR="005E1DEA" w:rsidRPr="007A1A43" w:rsidRDefault="005E1DEA" w:rsidP="004D0B4F">
            <w:pPr>
              <w:jc w:val="center"/>
              <w:rPr>
                <w:rFonts w:eastAsia="Times New Roman" w:cstheme="minorHAnsi"/>
              </w:rPr>
            </w:pPr>
            <w:r w:rsidRPr="00E33E15">
              <w:rPr>
                <w:rFonts w:eastAsia="Times New Roman" w:cstheme="minorHAnsi"/>
              </w:rPr>
              <w:t>Vegetation Class Change</w:t>
            </w:r>
          </w:p>
        </w:tc>
        <w:tc>
          <w:tcPr>
            <w:tcW w:w="2080" w:type="dxa"/>
            <w:noWrap/>
            <w:hideMark/>
          </w:tcPr>
          <w:p w14:paraId="5499511B" w14:textId="77777777" w:rsidR="005E1DEA" w:rsidRPr="007A1A43" w:rsidRDefault="005E1DEA" w:rsidP="004D0B4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Percent of Total Area</w:t>
            </w:r>
          </w:p>
        </w:tc>
        <w:tc>
          <w:tcPr>
            <w:tcW w:w="2330" w:type="dxa"/>
            <w:noWrap/>
            <w:hideMark/>
          </w:tcPr>
          <w:p w14:paraId="18C95293" w14:textId="77777777" w:rsidR="005E1DEA" w:rsidRPr="007A1A43" w:rsidRDefault="005E1DEA" w:rsidP="004D0B4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 xml:space="preserve">Percent of Area </w:t>
            </w:r>
            <w:r w:rsidRPr="007A1A43">
              <w:rPr>
                <w:rFonts w:ascii="Calibri" w:eastAsia="Times New Roman" w:hAnsi="Calibri" w:cs="Calibri"/>
                <w:color w:val="000000"/>
              </w:rPr>
              <w:t>Inundated @ 1,500 cfs</w:t>
            </w:r>
          </w:p>
        </w:tc>
        <w:tc>
          <w:tcPr>
            <w:tcW w:w="1800" w:type="dxa"/>
            <w:noWrap/>
            <w:hideMark/>
          </w:tcPr>
          <w:p w14:paraId="7E719C1A" w14:textId="77777777" w:rsidR="005E1DEA" w:rsidRPr="007A1A43" w:rsidRDefault="005E1DEA" w:rsidP="004D0B4F">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Pr>
                <w:rFonts w:ascii="Calibri" w:eastAsia="Times New Roman" w:hAnsi="Calibri" w:cs="Calibri"/>
                <w:color w:val="000000"/>
              </w:rPr>
              <w:t xml:space="preserve">Percent of Area </w:t>
            </w:r>
            <w:r w:rsidRPr="007A1A43">
              <w:rPr>
                <w:rFonts w:ascii="Calibri" w:eastAsia="Times New Roman" w:hAnsi="Calibri" w:cs="Calibri"/>
                <w:color w:val="000000"/>
              </w:rPr>
              <w:t>Dry @ 1,500 cfs</w:t>
            </w:r>
          </w:p>
        </w:tc>
      </w:tr>
      <w:tr w:rsidR="005E1DEA" w:rsidRPr="007A1A43" w14:paraId="7D7255E1" w14:textId="77777777" w:rsidTr="004D0B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15" w:type="dxa"/>
            <w:noWrap/>
            <w:hideMark/>
          </w:tcPr>
          <w:p w14:paraId="7E3338A3" w14:textId="77777777" w:rsidR="005E1DEA" w:rsidRPr="007A1A43" w:rsidRDefault="005E1DEA" w:rsidP="004D0B4F">
            <w:pPr>
              <w:rPr>
                <w:rFonts w:ascii="Calibri" w:eastAsia="Times New Roman" w:hAnsi="Calibri" w:cs="Calibri"/>
                <w:color w:val="000000"/>
              </w:rPr>
            </w:pPr>
            <w:r>
              <w:rPr>
                <w:rFonts w:ascii="Calibri" w:eastAsia="Times New Roman" w:hAnsi="Calibri" w:cs="Calibri"/>
                <w:color w:val="000000"/>
              </w:rPr>
              <w:t>Remained</w:t>
            </w:r>
            <w:r w:rsidRPr="007A1A43">
              <w:rPr>
                <w:rFonts w:ascii="Calibri" w:eastAsia="Times New Roman" w:hAnsi="Calibri" w:cs="Calibri"/>
                <w:color w:val="000000"/>
              </w:rPr>
              <w:t xml:space="preserve"> Unvegetated</w:t>
            </w:r>
          </w:p>
        </w:tc>
        <w:tc>
          <w:tcPr>
            <w:tcW w:w="2080" w:type="dxa"/>
            <w:noWrap/>
            <w:hideMark/>
          </w:tcPr>
          <w:p w14:paraId="0E10BADB" w14:textId="77777777" w:rsidR="005E1DEA" w:rsidRPr="007A1A43" w:rsidRDefault="005E1DEA" w:rsidP="004D0B4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76%</w:t>
            </w:r>
          </w:p>
        </w:tc>
        <w:tc>
          <w:tcPr>
            <w:tcW w:w="2330" w:type="dxa"/>
            <w:noWrap/>
            <w:hideMark/>
          </w:tcPr>
          <w:p w14:paraId="32DD1DEE" w14:textId="77777777" w:rsidR="005E1DEA" w:rsidRPr="007A1A43" w:rsidRDefault="005E1DEA" w:rsidP="004D0B4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95%</w:t>
            </w:r>
          </w:p>
        </w:tc>
        <w:tc>
          <w:tcPr>
            <w:tcW w:w="1800" w:type="dxa"/>
            <w:noWrap/>
            <w:hideMark/>
          </w:tcPr>
          <w:p w14:paraId="67D1FA0B" w14:textId="77777777" w:rsidR="005E1DEA" w:rsidRPr="007A1A43" w:rsidRDefault="005E1DEA" w:rsidP="004D0B4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5%</w:t>
            </w:r>
          </w:p>
        </w:tc>
      </w:tr>
      <w:tr w:rsidR="005E1DEA" w:rsidRPr="007A1A43" w14:paraId="2F50FD12" w14:textId="77777777" w:rsidTr="004D0B4F">
        <w:trPr>
          <w:trHeight w:val="300"/>
        </w:trPr>
        <w:tc>
          <w:tcPr>
            <w:cnfStyle w:val="001000000000" w:firstRow="0" w:lastRow="0" w:firstColumn="1" w:lastColumn="0" w:oddVBand="0" w:evenVBand="0" w:oddHBand="0" w:evenHBand="0" w:firstRowFirstColumn="0" w:firstRowLastColumn="0" w:lastRowFirstColumn="0" w:lastRowLastColumn="0"/>
            <w:tcW w:w="2515" w:type="dxa"/>
            <w:noWrap/>
            <w:hideMark/>
          </w:tcPr>
          <w:p w14:paraId="2655896F" w14:textId="77777777" w:rsidR="005E1DEA" w:rsidRPr="007A1A43" w:rsidRDefault="005E1DEA" w:rsidP="004D0B4F">
            <w:pPr>
              <w:rPr>
                <w:rFonts w:ascii="Calibri" w:eastAsia="Times New Roman" w:hAnsi="Calibri" w:cs="Calibri"/>
                <w:color w:val="000000"/>
              </w:rPr>
            </w:pPr>
            <w:proofErr w:type="spellStart"/>
            <w:r w:rsidRPr="007A1A43">
              <w:rPr>
                <w:rFonts w:ascii="Calibri" w:eastAsia="Times New Roman" w:hAnsi="Calibri" w:cs="Calibri"/>
                <w:color w:val="000000"/>
              </w:rPr>
              <w:t>Unveg</w:t>
            </w:r>
            <w:proofErr w:type="spellEnd"/>
            <w:r w:rsidRPr="007A1A43">
              <w:rPr>
                <w:rFonts w:ascii="Calibri" w:eastAsia="Times New Roman" w:hAnsi="Calibri" w:cs="Calibri"/>
                <w:color w:val="000000"/>
              </w:rPr>
              <w:t xml:space="preserve"> to Veg &lt; 2ft</w:t>
            </w:r>
          </w:p>
        </w:tc>
        <w:tc>
          <w:tcPr>
            <w:tcW w:w="2080" w:type="dxa"/>
            <w:noWrap/>
            <w:hideMark/>
          </w:tcPr>
          <w:p w14:paraId="3A8621FE" w14:textId="77777777" w:rsidR="005E1DEA" w:rsidRPr="007A1A43" w:rsidRDefault="005E1DEA" w:rsidP="004D0B4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21%</w:t>
            </w:r>
          </w:p>
        </w:tc>
        <w:tc>
          <w:tcPr>
            <w:tcW w:w="2330" w:type="dxa"/>
            <w:noWrap/>
            <w:hideMark/>
          </w:tcPr>
          <w:p w14:paraId="46D2EFBB" w14:textId="77777777" w:rsidR="005E1DEA" w:rsidRPr="007A1A43" w:rsidRDefault="005E1DEA" w:rsidP="004D0B4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46%</w:t>
            </w:r>
          </w:p>
        </w:tc>
        <w:tc>
          <w:tcPr>
            <w:tcW w:w="1800" w:type="dxa"/>
            <w:noWrap/>
            <w:hideMark/>
          </w:tcPr>
          <w:p w14:paraId="2543A656" w14:textId="77777777" w:rsidR="005E1DEA" w:rsidRPr="007A1A43" w:rsidRDefault="005E1DEA" w:rsidP="004D0B4F">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54%</w:t>
            </w:r>
          </w:p>
        </w:tc>
      </w:tr>
      <w:tr w:rsidR="005E1DEA" w:rsidRPr="007A1A43" w14:paraId="2A1CA3D0" w14:textId="77777777" w:rsidTr="004D0B4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15" w:type="dxa"/>
            <w:noWrap/>
            <w:hideMark/>
          </w:tcPr>
          <w:p w14:paraId="51096E7C" w14:textId="77777777" w:rsidR="005E1DEA" w:rsidRPr="007A1A43" w:rsidRDefault="005E1DEA" w:rsidP="004D0B4F">
            <w:pPr>
              <w:rPr>
                <w:rFonts w:ascii="Calibri" w:eastAsia="Times New Roman" w:hAnsi="Calibri" w:cs="Calibri"/>
                <w:color w:val="000000"/>
              </w:rPr>
            </w:pPr>
            <w:proofErr w:type="spellStart"/>
            <w:r w:rsidRPr="007A1A43">
              <w:rPr>
                <w:rFonts w:ascii="Calibri" w:eastAsia="Times New Roman" w:hAnsi="Calibri" w:cs="Calibri"/>
                <w:color w:val="000000"/>
              </w:rPr>
              <w:t>Unveg</w:t>
            </w:r>
            <w:proofErr w:type="spellEnd"/>
            <w:r w:rsidRPr="007A1A43">
              <w:rPr>
                <w:rFonts w:ascii="Calibri" w:eastAsia="Times New Roman" w:hAnsi="Calibri" w:cs="Calibri"/>
                <w:color w:val="000000"/>
              </w:rPr>
              <w:t xml:space="preserve"> to Veg  &gt; 2ft</w:t>
            </w:r>
          </w:p>
        </w:tc>
        <w:tc>
          <w:tcPr>
            <w:tcW w:w="2080" w:type="dxa"/>
            <w:noWrap/>
            <w:hideMark/>
          </w:tcPr>
          <w:p w14:paraId="71E067CE" w14:textId="77777777" w:rsidR="005E1DEA" w:rsidRPr="007A1A43" w:rsidRDefault="005E1DEA" w:rsidP="004D0B4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3%</w:t>
            </w:r>
          </w:p>
        </w:tc>
        <w:tc>
          <w:tcPr>
            <w:tcW w:w="2330" w:type="dxa"/>
            <w:noWrap/>
            <w:hideMark/>
          </w:tcPr>
          <w:p w14:paraId="48FB4518" w14:textId="77777777" w:rsidR="005E1DEA" w:rsidRPr="007A1A43" w:rsidRDefault="005E1DEA" w:rsidP="004D0B4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15%</w:t>
            </w:r>
          </w:p>
        </w:tc>
        <w:tc>
          <w:tcPr>
            <w:tcW w:w="1800" w:type="dxa"/>
            <w:noWrap/>
            <w:hideMark/>
          </w:tcPr>
          <w:p w14:paraId="6A967BEA" w14:textId="77777777" w:rsidR="005E1DEA" w:rsidRPr="007A1A43" w:rsidRDefault="005E1DEA" w:rsidP="004D0B4F">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7A1A43">
              <w:rPr>
                <w:rFonts w:ascii="Calibri" w:eastAsia="Times New Roman" w:hAnsi="Calibri" w:cs="Calibri"/>
                <w:color w:val="000000"/>
              </w:rPr>
              <w:t>85%</w:t>
            </w:r>
          </w:p>
        </w:tc>
      </w:tr>
    </w:tbl>
    <w:p w14:paraId="2C705E59" w14:textId="77777777" w:rsidR="005E1DEA" w:rsidRDefault="005E1DEA">
      <w:r>
        <w:br w:type="page"/>
      </w:r>
    </w:p>
    <w:p w14:paraId="2CB34E6B" w14:textId="585ABF79" w:rsidR="005E1DEA" w:rsidRDefault="005E1DEA">
      <w:pPr>
        <w:rPr>
          <w:color w:val="0070C0"/>
          <w:sz w:val="26"/>
          <w:szCs w:val="26"/>
        </w:rPr>
      </w:pPr>
      <w:r>
        <w:rPr>
          <w:color w:val="0070C0"/>
          <w:sz w:val="26"/>
          <w:szCs w:val="26"/>
        </w:rPr>
        <w:lastRenderedPageBreak/>
        <w:t>FIGURES</w:t>
      </w:r>
    </w:p>
    <w:p w14:paraId="5488BDDE" w14:textId="77777777" w:rsidR="0057469D" w:rsidRPr="00276DC7" w:rsidRDefault="0057469D">
      <w:pPr>
        <w:rPr>
          <w:color w:val="0070C0"/>
          <w:sz w:val="26"/>
          <w:szCs w:val="26"/>
        </w:rPr>
      </w:pPr>
    </w:p>
    <w:p w14:paraId="50C5195E" w14:textId="72DE9B62" w:rsidR="007B1479" w:rsidRPr="00EA6F4A" w:rsidRDefault="000E5A82" w:rsidP="007B1479">
      <w:pPr>
        <w:jc w:val="both"/>
        <w:rPr>
          <w:rFonts w:asciiTheme="minorHAnsi" w:hAnsiTheme="minorHAnsi" w:cstheme="minorHAnsi"/>
        </w:rPr>
      </w:pPr>
      <w:r>
        <w:rPr>
          <w:rFonts w:asciiTheme="minorHAnsi" w:hAnsiTheme="minorHAnsi" w:cstheme="minorHAnsi"/>
          <w:noProof/>
        </w:rPr>
        <w:drawing>
          <wp:inline distT="0" distB="0" distL="0" distR="0" wp14:anchorId="60FBFB0E" wp14:editId="5855324A">
            <wp:extent cx="5943600" cy="4457700"/>
            <wp:effectExtent l="0" t="0" r="0" b="0"/>
            <wp:docPr id="2063497745" name="Picture 1" descr="A green line with blu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497745" name="Picture 1" descr="A green line with blue lin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0696D0A5" w14:textId="6AB7539A" w:rsidR="00765B3E" w:rsidRPr="0057469D" w:rsidRDefault="007B1479" w:rsidP="0057469D">
      <w:pPr>
        <w:jc w:val="both"/>
        <w:rPr>
          <w:rFonts w:asciiTheme="minorHAnsi" w:hAnsiTheme="minorHAnsi" w:cstheme="minorHAnsi"/>
        </w:rPr>
      </w:pPr>
      <w:r w:rsidRPr="005E1DEA">
        <w:rPr>
          <w:rFonts w:asciiTheme="minorHAnsi" w:hAnsiTheme="minorHAnsi" w:cstheme="minorHAnsi"/>
          <w:b/>
          <w:bCs/>
        </w:rPr>
        <w:t xml:space="preserve">Figure </w:t>
      </w:r>
      <w:r w:rsidR="005E1DEA" w:rsidRPr="005E1DEA">
        <w:rPr>
          <w:rFonts w:asciiTheme="minorHAnsi" w:hAnsiTheme="minorHAnsi" w:cstheme="minorHAnsi"/>
          <w:b/>
          <w:bCs/>
        </w:rPr>
        <w:t>1</w:t>
      </w:r>
      <w:r w:rsidRPr="005E1DEA">
        <w:rPr>
          <w:rFonts w:asciiTheme="minorHAnsi" w:hAnsiTheme="minorHAnsi" w:cstheme="minorHAnsi"/>
        </w:rPr>
        <w:t xml:space="preserve">. </w:t>
      </w:r>
      <w:r w:rsidR="000E5A82">
        <w:rPr>
          <w:rFonts w:asciiTheme="minorHAnsi" w:hAnsiTheme="minorHAnsi" w:cstheme="minorHAnsi"/>
        </w:rPr>
        <w:t>Median</w:t>
      </w:r>
      <w:r w:rsidR="00765B3E">
        <w:rPr>
          <w:rFonts w:asciiTheme="minorHAnsi" w:hAnsiTheme="minorHAnsi" w:cstheme="minorHAnsi"/>
        </w:rPr>
        <w:t xml:space="preserve"> maximum unobstructed channel width </w:t>
      </w:r>
      <w:r w:rsidR="003D1F1C">
        <w:rPr>
          <w:rFonts w:asciiTheme="minorHAnsi" w:hAnsiTheme="minorHAnsi" w:cstheme="minorHAnsi"/>
        </w:rPr>
        <w:t>in the Associated</w:t>
      </w:r>
      <w:r w:rsidR="00165EB5">
        <w:rPr>
          <w:rFonts w:asciiTheme="minorHAnsi" w:hAnsiTheme="minorHAnsi" w:cstheme="minorHAnsi"/>
        </w:rPr>
        <w:t xml:space="preserve"> Habitat Reach</w:t>
      </w:r>
      <w:r w:rsidR="00765B3E">
        <w:rPr>
          <w:rFonts w:asciiTheme="minorHAnsi" w:hAnsiTheme="minorHAnsi" w:cstheme="minorHAnsi"/>
        </w:rPr>
        <w:t xml:space="preserve"> (green) and predicted for 2020</w:t>
      </w:r>
      <w:r w:rsidR="00C822CD">
        <w:rPr>
          <w:rFonts w:asciiTheme="minorHAnsi" w:hAnsiTheme="minorHAnsi" w:cstheme="minorHAnsi"/>
        </w:rPr>
        <w:softHyphen/>
        <w:t>–</w:t>
      </w:r>
      <w:r w:rsidR="00765B3E">
        <w:rPr>
          <w:rFonts w:asciiTheme="minorHAnsi" w:hAnsiTheme="minorHAnsi" w:cstheme="minorHAnsi"/>
        </w:rPr>
        <w:t>2022 (blue) based on the Program’s machine learning model of channel width dynamics</w:t>
      </w:r>
      <w:r w:rsidR="00B44B4E">
        <w:rPr>
          <w:rFonts w:asciiTheme="minorHAnsi" w:hAnsiTheme="minorHAnsi" w:cstheme="minorHAnsi"/>
        </w:rPr>
        <w:t xml:space="preserve">. </w:t>
      </w:r>
      <w:r w:rsidR="000E5A82">
        <w:rPr>
          <w:rFonts w:asciiTheme="minorHAnsi" w:hAnsiTheme="minorHAnsi" w:cstheme="minorHAnsi"/>
        </w:rPr>
        <w:t>The g</w:t>
      </w:r>
      <w:r w:rsidR="00B44B4E">
        <w:rPr>
          <w:rFonts w:asciiTheme="minorHAnsi" w:hAnsiTheme="minorHAnsi" w:cstheme="minorHAnsi"/>
        </w:rPr>
        <w:t xml:space="preserve">ray region </w:t>
      </w:r>
      <w:r w:rsidR="00496511">
        <w:rPr>
          <w:rFonts w:asciiTheme="minorHAnsi" w:hAnsiTheme="minorHAnsi" w:cstheme="minorHAnsi"/>
        </w:rPr>
        <w:t>indicate</w:t>
      </w:r>
      <w:r w:rsidR="000E5A82">
        <w:rPr>
          <w:rFonts w:asciiTheme="minorHAnsi" w:hAnsiTheme="minorHAnsi" w:cstheme="minorHAnsi"/>
        </w:rPr>
        <w:t>s</w:t>
      </w:r>
      <w:r w:rsidR="00B44B4E">
        <w:rPr>
          <w:rFonts w:asciiTheme="minorHAnsi" w:hAnsiTheme="minorHAnsi" w:cstheme="minorHAnsi"/>
        </w:rPr>
        <w:t xml:space="preserve"> the middle 50</w:t>
      </w:r>
      <w:r w:rsidR="00165EB5">
        <w:rPr>
          <w:rFonts w:asciiTheme="minorHAnsi" w:hAnsiTheme="minorHAnsi" w:cstheme="minorHAnsi"/>
        </w:rPr>
        <w:t>%,</w:t>
      </w:r>
      <w:r w:rsidR="000E5A82">
        <w:rPr>
          <w:rFonts w:asciiTheme="minorHAnsi" w:hAnsiTheme="minorHAnsi" w:cstheme="minorHAnsi"/>
        </w:rPr>
        <w:t xml:space="preserve"> or</w:t>
      </w:r>
      <w:r w:rsidR="00165EB5">
        <w:rPr>
          <w:rFonts w:asciiTheme="minorHAnsi" w:hAnsiTheme="minorHAnsi" w:cstheme="minorHAnsi"/>
        </w:rPr>
        <w:t xml:space="preserve"> widths</w:t>
      </w:r>
      <w:r w:rsidR="000E5A82">
        <w:rPr>
          <w:rFonts w:asciiTheme="minorHAnsi" w:hAnsiTheme="minorHAnsi" w:cstheme="minorHAnsi"/>
        </w:rPr>
        <w:t xml:space="preserve"> observed</w:t>
      </w:r>
      <w:r w:rsidR="00165EB5">
        <w:rPr>
          <w:rFonts w:asciiTheme="minorHAnsi" w:hAnsiTheme="minorHAnsi" w:cstheme="minorHAnsi"/>
        </w:rPr>
        <w:t xml:space="preserve"> between the 25</w:t>
      </w:r>
      <w:r w:rsidR="00165EB5" w:rsidRPr="00165EB5">
        <w:rPr>
          <w:rFonts w:asciiTheme="minorHAnsi" w:hAnsiTheme="minorHAnsi" w:cstheme="minorHAnsi"/>
          <w:vertAlign w:val="superscript"/>
        </w:rPr>
        <w:t>th</w:t>
      </w:r>
      <w:r w:rsidR="00165EB5">
        <w:rPr>
          <w:rFonts w:asciiTheme="minorHAnsi" w:hAnsiTheme="minorHAnsi" w:cstheme="minorHAnsi"/>
        </w:rPr>
        <w:t xml:space="preserve"> and 75</w:t>
      </w:r>
      <w:r w:rsidR="00165EB5" w:rsidRPr="00165EB5">
        <w:rPr>
          <w:rFonts w:asciiTheme="minorHAnsi" w:hAnsiTheme="minorHAnsi" w:cstheme="minorHAnsi"/>
          <w:vertAlign w:val="superscript"/>
        </w:rPr>
        <w:t>th</w:t>
      </w:r>
      <w:r w:rsidR="00165EB5">
        <w:rPr>
          <w:rFonts w:asciiTheme="minorHAnsi" w:hAnsiTheme="minorHAnsi" w:cstheme="minorHAnsi"/>
        </w:rPr>
        <w:t xml:space="preserve"> percentile</w:t>
      </w:r>
      <w:r w:rsidR="000E5A82">
        <w:rPr>
          <w:rFonts w:asciiTheme="minorHAnsi" w:hAnsiTheme="minorHAnsi" w:cstheme="minorHAnsi"/>
        </w:rPr>
        <w:t>s</w:t>
      </w:r>
      <w:r w:rsidR="00165EB5">
        <w:rPr>
          <w:rFonts w:asciiTheme="minorHAnsi" w:hAnsiTheme="minorHAnsi" w:cstheme="minorHAnsi"/>
        </w:rPr>
        <w:t>,</w:t>
      </w:r>
      <w:r w:rsidR="00165EB5">
        <w:rPr>
          <w:rFonts w:asciiTheme="minorHAnsi" w:hAnsiTheme="minorHAnsi" w:cstheme="minorHAnsi"/>
          <w:vertAlign w:val="superscript"/>
        </w:rPr>
        <w:t xml:space="preserve"> </w:t>
      </w:r>
      <w:r w:rsidR="000E5A82">
        <w:rPr>
          <w:rFonts w:asciiTheme="minorHAnsi" w:hAnsiTheme="minorHAnsi" w:cstheme="minorHAnsi"/>
        </w:rPr>
        <w:t xml:space="preserve">while the </w:t>
      </w:r>
      <w:r w:rsidR="00CA163A">
        <w:rPr>
          <w:rFonts w:asciiTheme="minorHAnsi" w:hAnsiTheme="minorHAnsi" w:cstheme="minorHAnsi"/>
        </w:rPr>
        <w:t xml:space="preserve">light </w:t>
      </w:r>
      <w:r w:rsidR="000E5A82">
        <w:rPr>
          <w:rFonts w:asciiTheme="minorHAnsi" w:hAnsiTheme="minorHAnsi" w:cstheme="minorHAnsi"/>
        </w:rPr>
        <w:t>blue region denotes the middle 50% of predicted widths annually</w:t>
      </w:r>
      <w:r w:rsidR="00765B3E">
        <w:rPr>
          <w:rFonts w:asciiTheme="minorHAnsi" w:hAnsiTheme="minorHAnsi" w:cstheme="minorHAnsi"/>
        </w:rPr>
        <w:t>. As indicated in analysis step one, data prior to germination suppression flow releases were used to train the model</w:t>
      </w:r>
      <w:r w:rsidR="00496511">
        <w:rPr>
          <w:rFonts w:asciiTheme="minorHAnsi" w:hAnsiTheme="minorHAnsi" w:cstheme="minorHAnsi"/>
        </w:rPr>
        <w:t xml:space="preserve"> (</w:t>
      </w:r>
      <w:r w:rsidR="00761375">
        <w:rPr>
          <w:rFonts w:asciiTheme="minorHAnsi" w:hAnsiTheme="minorHAnsi" w:cstheme="minorHAnsi"/>
        </w:rPr>
        <w:t>up to 2019</w:t>
      </w:r>
      <w:r w:rsidR="00496511">
        <w:rPr>
          <w:rFonts w:asciiTheme="minorHAnsi" w:hAnsiTheme="minorHAnsi" w:cstheme="minorHAnsi"/>
        </w:rPr>
        <w:t>)</w:t>
      </w:r>
      <w:r w:rsidR="00765B3E">
        <w:rPr>
          <w:rFonts w:asciiTheme="minorHAnsi" w:hAnsiTheme="minorHAnsi" w:cstheme="minorHAnsi"/>
        </w:rPr>
        <w:t xml:space="preserve"> and then </w:t>
      </w:r>
      <w:r w:rsidR="00B44B4E">
        <w:rPr>
          <w:rFonts w:asciiTheme="minorHAnsi" w:hAnsiTheme="minorHAnsi" w:cstheme="minorHAnsi"/>
        </w:rPr>
        <w:t xml:space="preserve">the </w:t>
      </w:r>
      <w:r w:rsidR="00496511">
        <w:rPr>
          <w:rFonts w:asciiTheme="minorHAnsi" w:hAnsiTheme="minorHAnsi" w:cstheme="minorHAnsi"/>
        </w:rPr>
        <w:t>model predicted</w:t>
      </w:r>
      <w:r w:rsidR="00765B3E">
        <w:rPr>
          <w:rFonts w:asciiTheme="minorHAnsi" w:hAnsiTheme="minorHAnsi" w:cstheme="minorHAnsi"/>
        </w:rPr>
        <w:t xml:space="preserve"> channel width dynamics from 2020 to 2022. </w:t>
      </w:r>
      <w:r w:rsidR="00165EB5">
        <w:rPr>
          <w:rFonts w:asciiTheme="minorHAnsi" w:hAnsiTheme="minorHAnsi" w:cstheme="minorHAnsi"/>
        </w:rPr>
        <w:t xml:space="preserve">The similarity of </w:t>
      </w:r>
      <w:r w:rsidR="00534D63">
        <w:rPr>
          <w:rFonts w:asciiTheme="minorHAnsi" w:hAnsiTheme="minorHAnsi" w:cstheme="minorHAnsi"/>
        </w:rPr>
        <w:t xml:space="preserve">average </w:t>
      </w:r>
      <w:r w:rsidR="00165EB5">
        <w:rPr>
          <w:rFonts w:asciiTheme="minorHAnsi" w:hAnsiTheme="minorHAnsi" w:cstheme="minorHAnsi"/>
        </w:rPr>
        <w:t xml:space="preserve">observed </w:t>
      </w:r>
      <w:r w:rsidR="00765B3E">
        <w:rPr>
          <w:rFonts w:asciiTheme="minorHAnsi" w:hAnsiTheme="minorHAnsi" w:cstheme="minorHAnsi"/>
        </w:rPr>
        <w:t>MUCW and predict</w:t>
      </w:r>
      <w:r w:rsidR="00B44B4E">
        <w:rPr>
          <w:rFonts w:asciiTheme="minorHAnsi" w:hAnsiTheme="minorHAnsi" w:cstheme="minorHAnsi"/>
        </w:rPr>
        <w:t>ion</w:t>
      </w:r>
      <w:r w:rsidR="00165EB5">
        <w:rPr>
          <w:rFonts w:asciiTheme="minorHAnsi" w:hAnsiTheme="minorHAnsi" w:cstheme="minorHAnsi"/>
        </w:rPr>
        <w:t>s of MUCW</w:t>
      </w:r>
      <w:r w:rsidR="00C822CD">
        <w:rPr>
          <w:rFonts w:asciiTheme="minorHAnsi" w:hAnsiTheme="minorHAnsi" w:cstheme="minorHAnsi"/>
        </w:rPr>
        <w:t xml:space="preserve"> from 2020–2022</w:t>
      </w:r>
      <w:r w:rsidR="00765B3E">
        <w:rPr>
          <w:rFonts w:asciiTheme="minorHAnsi" w:hAnsiTheme="minorHAnsi" w:cstheme="minorHAnsi"/>
        </w:rPr>
        <w:t xml:space="preserve"> provides an indication of</w:t>
      </w:r>
      <w:r w:rsidR="00B44B4E">
        <w:rPr>
          <w:rFonts w:asciiTheme="minorHAnsi" w:hAnsiTheme="minorHAnsi" w:cstheme="minorHAnsi"/>
        </w:rPr>
        <w:t xml:space="preserve"> </w:t>
      </w:r>
      <w:r w:rsidR="00534D63">
        <w:rPr>
          <w:rFonts w:asciiTheme="minorHAnsi" w:hAnsiTheme="minorHAnsi" w:cstheme="minorHAnsi"/>
        </w:rPr>
        <w:t>the</w:t>
      </w:r>
      <w:r w:rsidR="00B44B4E">
        <w:rPr>
          <w:rFonts w:asciiTheme="minorHAnsi" w:hAnsiTheme="minorHAnsi" w:cstheme="minorHAnsi"/>
        </w:rPr>
        <w:t xml:space="preserve"> </w:t>
      </w:r>
      <w:r w:rsidR="00534D63">
        <w:rPr>
          <w:rFonts w:asciiTheme="minorHAnsi" w:hAnsiTheme="minorHAnsi" w:cstheme="minorHAnsi"/>
        </w:rPr>
        <w:t>ability of</w:t>
      </w:r>
      <w:r w:rsidR="00B44B4E">
        <w:rPr>
          <w:rFonts w:asciiTheme="minorHAnsi" w:hAnsiTheme="minorHAnsi" w:cstheme="minorHAnsi"/>
        </w:rPr>
        <w:t xml:space="preserve"> germination suppression flows </w:t>
      </w:r>
      <w:r w:rsidR="00534D63">
        <w:rPr>
          <w:rFonts w:asciiTheme="minorHAnsi" w:hAnsiTheme="minorHAnsi" w:cstheme="minorHAnsi"/>
        </w:rPr>
        <w:t xml:space="preserve">to </w:t>
      </w:r>
      <w:r w:rsidR="00B44B4E">
        <w:rPr>
          <w:rFonts w:asciiTheme="minorHAnsi" w:hAnsiTheme="minorHAnsi" w:cstheme="minorHAnsi"/>
        </w:rPr>
        <w:t xml:space="preserve">mimic natural flows, of a similar magnitude, to maintain highly suitable unobstructed channel widths for whooping cranes.  </w:t>
      </w:r>
      <w:r w:rsidR="00765B3E">
        <w:rPr>
          <w:rFonts w:asciiTheme="minorHAnsi" w:hAnsiTheme="minorHAnsi" w:cstheme="minorHAnsi"/>
        </w:rPr>
        <w:t xml:space="preserve"> </w:t>
      </w:r>
    </w:p>
    <w:p w14:paraId="7EA5C096" w14:textId="77777777" w:rsidR="00370718" w:rsidRDefault="00370718" w:rsidP="00370718">
      <w:pPr>
        <w:pStyle w:val="NoSpacing"/>
      </w:pPr>
      <w:r>
        <w:rPr>
          <w:noProof/>
        </w:rPr>
        <w:lastRenderedPageBreak/>
        <w:drawing>
          <wp:inline distT="0" distB="0" distL="0" distR="0" wp14:anchorId="5B4AA5F8" wp14:editId="030FFA83">
            <wp:extent cx="5524500" cy="7365998"/>
            <wp:effectExtent l="0" t="0" r="0" b="6985"/>
            <wp:docPr id="1346386587" name="Picture 1"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386587" name="Picture 1" descr="A close-up of a map&#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52912" cy="7403880"/>
                    </a:xfrm>
                    <a:prstGeom prst="rect">
                      <a:avLst/>
                    </a:prstGeom>
                  </pic:spPr>
                </pic:pic>
              </a:graphicData>
            </a:graphic>
          </wp:inline>
        </w:drawing>
      </w:r>
    </w:p>
    <w:p w14:paraId="37DA348D" w14:textId="4D90878B" w:rsidR="00370718" w:rsidRDefault="00370718" w:rsidP="005E1DEA">
      <w:pPr>
        <w:jc w:val="both"/>
      </w:pPr>
      <w:r w:rsidRPr="0057469D">
        <w:rPr>
          <w:b/>
          <w:bCs/>
        </w:rPr>
        <w:t xml:space="preserve">Figure </w:t>
      </w:r>
      <w:r w:rsidR="0057469D" w:rsidRPr="0057469D">
        <w:rPr>
          <w:b/>
          <w:bCs/>
        </w:rPr>
        <w:t>2</w:t>
      </w:r>
      <w:r w:rsidRPr="0057469D">
        <w:rPr>
          <w:b/>
          <w:bCs/>
        </w:rPr>
        <w:t>.</w:t>
      </w:r>
      <w:r w:rsidRPr="0057469D">
        <w:t xml:space="preserve"> Example</w:t>
      </w:r>
      <w:r>
        <w:t xml:space="preserve"> of in-channel vegetation change from fall of 2019 to fall of 2022 for an unconsolidated segment in Rowe Sanctuary reach (top two panels) and a fully-consolidated reach upstream of Wood River (bottom panels). Note proliferation of in-channel vegetation unconsolidated segment.   </w:t>
      </w:r>
    </w:p>
    <w:p w14:paraId="491EDB04" w14:textId="77777777" w:rsidR="00370718" w:rsidRDefault="00370718" w:rsidP="00370718">
      <w:pPr>
        <w:pStyle w:val="NoSpacing"/>
      </w:pPr>
      <w:r>
        <w:rPr>
          <w:noProof/>
        </w:rPr>
        <w:lastRenderedPageBreak/>
        <w:drawing>
          <wp:inline distT="0" distB="0" distL="0" distR="0" wp14:anchorId="51001B0B" wp14:editId="588F0DC4">
            <wp:extent cx="5381625" cy="7175500"/>
            <wp:effectExtent l="0" t="0" r="9525" b="6350"/>
            <wp:docPr id="648852885" name="Picture 2" descr="A close-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852885" name="Picture 2" descr="A close-up of a map&#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382686" cy="7176915"/>
                    </a:xfrm>
                    <a:prstGeom prst="rect">
                      <a:avLst/>
                    </a:prstGeom>
                  </pic:spPr>
                </pic:pic>
              </a:graphicData>
            </a:graphic>
          </wp:inline>
        </w:drawing>
      </w:r>
    </w:p>
    <w:p w14:paraId="3FC50178" w14:textId="32C0AADC" w:rsidR="00370718" w:rsidRDefault="00370718" w:rsidP="005E1DEA">
      <w:pPr>
        <w:jc w:val="both"/>
      </w:pPr>
      <w:r w:rsidRPr="0057469D">
        <w:rPr>
          <w:b/>
          <w:bCs/>
        </w:rPr>
        <w:t xml:space="preserve">Figure </w:t>
      </w:r>
      <w:r w:rsidR="0057469D" w:rsidRPr="0057469D">
        <w:rPr>
          <w:b/>
          <w:bCs/>
        </w:rPr>
        <w:t>3</w:t>
      </w:r>
      <w:r w:rsidRPr="0057469D">
        <w:rPr>
          <w:b/>
          <w:bCs/>
        </w:rPr>
        <w:t>.</w:t>
      </w:r>
      <w:r w:rsidRPr="0057469D">
        <w:t xml:space="preserve"> Channel</w:t>
      </w:r>
      <w:r>
        <w:t xml:space="preserve"> segments from Figure 1 with vegetation class changes from 2020 to 2022. Light pink polygons are areas that changed from unvegetated to vegetation &lt; 2 ft tall. Dark pink polygons changed from unvegetated to vegetation &gt; 2 ft tall (visually obstructed). Light green polygons represent areas that were vegetated in 2020 and had not changed by 2022. </w:t>
      </w:r>
    </w:p>
    <w:p w14:paraId="03D62A58" w14:textId="77777777" w:rsidR="00370718" w:rsidRDefault="00370718" w:rsidP="00370718"/>
    <w:p w14:paraId="4A232BF7" w14:textId="77777777" w:rsidR="00370718" w:rsidRDefault="00370718" w:rsidP="00370718">
      <w:pPr>
        <w:pStyle w:val="NoSpacing"/>
      </w:pPr>
      <w:r>
        <w:rPr>
          <w:noProof/>
        </w:rPr>
        <w:drawing>
          <wp:inline distT="0" distB="0" distL="0" distR="0" wp14:anchorId="67B40065" wp14:editId="390A3B3B">
            <wp:extent cx="5172075" cy="3448050"/>
            <wp:effectExtent l="0" t="0" r="9525" b="0"/>
            <wp:docPr id="818218740" name="Picture 4" descr="A comparison of a riv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218740" name="Picture 4" descr="A comparison of a river&#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172075" cy="3448050"/>
                    </a:xfrm>
                    <a:prstGeom prst="rect">
                      <a:avLst/>
                    </a:prstGeom>
                  </pic:spPr>
                </pic:pic>
              </a:graphicData>
            </a:graphic>
          </wp:inline>
        </w:drawing>
      </w:r>
    </w:p>
    <w:p w14:paraId="38247B1E" w14:textId="0F663449" w:rsidR="0057469D" w:rsidRDefault="00370718" w:rsidP="005E1DEA">
      <w:pPr>
        <w:jc w:val="both"/>
      </w:pPr>
      <w:r w:rsidRPr="0057469D">
        <w:rPr>
          <w:b/>
          <w:bCs/>
        </w:rPr>
        <w:t xml:space="preserve">Figure </w:t>
      </w:r>
      <w:r w:rsidR="0057469D" w:rsidRPr="0057469D">
        <w:rPr>
          <w:b/>
          <w:bCs/>
        </w:rPr>
        <w:t>4</w:t>
      </w:r>
      <w:r w:rsidRPr="0057469D">
        <w:rPr>
          <w:b/>
          <w:bCs/>
        </w:rPr>
        <w:t>.</w:t>
      </w:r>
      <w:r w:rsidRPr="0057469D">
        <w:t xml:space="preserve"> 2022</w:t>
      </w:r>
      <w:r>
        <w:t xml:space="preserve"> channel segments from Figure 2 with vegetation class change polygons with 1,500 cfs flow depth raster overlay.  </w:t>
      </w:r>
    </w:p>
    <w:p w14:paraId="220E19DF" w14:textId="77777777" w:rsidR="00370718" w:rsidRDefault="00370718" w:rsidP="00370718">
      <w:pPr>
        <w:pStyle w:val="NoSpacing"/>
      </w:pPr>
      <w:r>
        <w:rPr>
          <w:noProof/>
        </w:rPr>
        <w:drawing>
          <wp:inline distT="0" distB="0" distL="0" distR="0" wp14:anchorId="70910AD4" wp14:editId="00D9A7E2">
            <wp:extent cx="5181600" cy="3454400"/>
            <wp:effectExtent l="0" t="0" r="0" b="0"/>
            <wp:docPr id="2145261656" name="Picture 5" descr="A collage of images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261656" name="Picture 5" descr="A collage of images of a riv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82874" cy="3455249"/>
                    </a:xfrm>
                    <a:prstGeom prst="rect">
                      <a:avLst/>
                    </a:prstGeom>
                  </pic:spPr>
                </pic:pic>
              </a:graphicData>
            </a:graphic>
          </wp:inline>
        </w:drawing>
      </w:r>
    </w:p>
    <w:p w14:paraId="12034878" w14:textId="0762116E" w:rsidR="00370718" w:rsidRDefault="00370718" w:rsidP="005E1DEA">
      <w:pPr>
        <w:jc w:val="both"/>
      </w:pPr>
      <w:r w:rsidRPr="0057469D">
        <w:rPr>
          <w:b/>
          <w:bCs/>
        </w:rPr>
        <w:t xml:space="preserve">Figure </w:t>
      </w:r>
      <w:r w:rsidR="0057469D" w:rsidRPr="0057469D">
        <w:rPr>
          <w:b/>
          <w:bCs/>
        </w:rPr>
        <w:t>5</w:t>
      </w:r>
      <w:r w:rsidRPr="0057469D">
        <w:rPr>
          <w:b/>
          <w:bCs/>
        </w:rPr>
        <w:t>.</w:t>
      </w:r>
      <w:r w:rsidRPr="0057469D">
        <w:t xml:space="preserve"> Zoomed</w:t>
      </w:r>
      <w:r>
        <w:t xml:space="preserve"> view of Rowe segment vegetation class change polygons with and without 1,500 cfs flow depth raster overlay.  </w:t>
      </w:r>
    </w:p>
    <w:p w14:paraId="6A99E7AA" w14:textId="77777777" w:rsidR="00370718" w:rsidRDefault="00370718" w:rsidP="00370718">
      <w:pPr>
        <w:pStyle w:val="NoSpacing"/>
      </w:pPr>
      <w:r>
        <w:rPr>
          <w:noProof/>
        </w:rPr>
        <w:lastRenderedPageBreak/>
        <w:drawing>
          <wp:inline distT="0" distB="0" distL="0" distR="0" wp14:anchorId="0983BBFE" wp14:editId="1DCFC675">
            <wp:extent cx="5943600" cy="1952625"/>
            <wp:effectExtent l="0" t="0" r="0" b="9525"/>
            <wp:docPr id="974081084" name="Picture 6" descr="A blue lines on a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081084" name="Picture 6" descr="A blue lines on a surface&#10;&#10;Description automatically generated"/>
                    <pic:cNvPicPr/>
                  </pic:nvPicPr>
                  <pic:blipFill rotWithShape="1">
                    <a:blip r:embed="rId15" cstate="print">
                      <a:extLst>
                        <a:ext uri="{28A0092B-C50C-407E-A947-70E740481C1C}">
                          <a14:useLocalDpi xmlns:a14="http://schemas.microsoft.com/office/drawing/2010/main" val="0"/>
                        </a:ext>
                      </a:extLst>
                    </a:blip>
                    <a:srcRect b="11024"/>
                    <a:stretch/>
                  </pic:blipFill>
                  <pic:spPr bwMode="auto">
                    <a:xfrm>
                      <a:off x="0" y="0"/>
                      <a:ext cx="5943600" cy="1952625"/>
                    </a:xfrm>
                    <a:prstGeom prst="rect">
                      <a:avLst/>
                    </a:prstGeom>
                    <a:ln>
                      <a:noFill/>
                    </a:ln>
                    <a:extLst>
                      <a:ext uri="{53640926-AAD7-44D8-BBD7-CCE9431645EC}">
                        <a14:shadowObscured xmlns:a14="http://schemas.microsoft.com/office/drawing/2010/main"/>
                      </a:ext>
                    </a:extLst>
                  </pic:spPr>
                </pic:pic>
              </a:graphicData>
            </a:graphic>
          </wp:inline>
        </w:drawing>
      </w:r>
    </w:p>
    <w:p w14:paraId="35E102B6" w14:textId="77777777" w:rsidR="0057469D" w:rsidRDefault="00370718" w:rsidP="005E1DEA">
      <w:pPr>
        <w:pStyle w:val="NoSpacing"/>
        <w:jc w:val="both"/>
      </w:pPr>
      <w:r w:rsidRPr="0057469D">
        <w:rPr>
          <w:b/>
          <w:bCs/>
        </w:rPr>
        <w:t xml:space="preserve">Figure </w:t>
      </w:r>
      <w:r w:rsidR="0057469D" w:rsidRPr="0057469D">
        <w:rPr>
          <w:b/>
          <w:bCs/>
        </w:rPr>
        <w:t>6</w:t>
      </w:r>
      <w:r w:rsidRPr="0057469D">
        <w:rPr>
          <w:b/>
          <w:bCs/>
        </w:rPr>
        <w:t>.</w:t>
      </w:r>
      <w:r w:rsidRPr="0057469D">
        <w:t xml:space="preserve"> Flow</w:t>
      </w:r>
      <w:r>
        <w:t xml:space="preserve"> depth at 1,500 cfs demonstrating flow split downstream of the Kearney bridge. In this reach, approximately 42% of the flow is conveyed in the historical main (south) channel.  </w:t>
      </w:r>
    </w:p>
    <w:p w14:paraId="2D5953CE" w14:textId="71A4277D" w:rsidR="00370718" w:rsidRDefault="00370718" w:rsidP="005E1DEA">
      <w:pPr>
        <w:pStyle w:val="NoSpacing"/>
        <w:jc w:val="both"/>
      </w:pPr>
    </w:p>
    <w:p w14:paraId="56F0C0A7" w14:textId="77777777" w:rsidR="00370718" w:rsidRDefault="00370718" w:rsidP="00370718">
      <w:pPr>
        <w:pStyle w:val="NoSpacing"/>
      </w:pPr>
      <w:r>
        <w:rPr>
          <w:noProof/>
        </w:rPr>
        <w:drawing>
          <wp:inline distT="0" distB="0" distL="0" distR="0" wp14:anchorId="46FD3F69" wp14:editId="7C766EDD">
            <wp:extent cx="5838825" cy="3700145"/>
            <wp:effectExtent l="0" t="0" r="9525" b="14605"/>
            <wp:docPr id="42786786" name="Chart 1">
              <a:extLst xmlns:a="http://schemas.openxmlformats.org/drawingml/2006/main">
                <a:ext uri="{FF2B5EF4-FFF2-40B4-BE49-F238E27FC236}">
                  <a16:creationId xmlns:a16="http://schemas.microsoft.com/office/drawing/2014/main" id="{1020C7A7-0382-48EB-B449-4804D96935B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7A1BF67" w14:textId="1280BE27" w:rsidR="00370718" w:rsidRPr="007B1479" w:rsidRDefault="00370718" w:rsidP="005E1DEA">
      <w:pPr>
        <w:pStyle w:val="NoSpacing"/>
        <w:jc w:val="both"/>
      </w:pPr>
      <w:r w:rsidRPr="0057469D">
        <w:rPr>
          <w:b/>
          <w:bCs/>
        </w:rPr>
        <w:t xml:space="preserve">Figure </w:t>
      </w:r>
      <w:r w:rsidR="0057469D" w:rsidRPr="0057469D">
        <w:rPr>
          <w:b/>
          <w:bCs/>
        </w:rPr>
        <w:t>7</w:t>
      </w:r>
      <w:r w:rsidRPr="0057469D">
        <w:rPr>
          <w:b/>
          <w:bCs/>
        </w:rPr>
        <w:t>.</w:t>
      </w:r>
      <w:r w:rsidRPr="0057469D">
        <w:t xml:space="preserve"> Hypothetical</w:t>
      </w:r>
      <w:r>
        <w:t xml:space="preserve"> example of relationship between flow consolidation and unvegetated width of the main channel. Reaches where Mean TCW falls below dashed line may be narrower than can be maintained with flow indicating channel widening could increase TUCW and MUCW. Areas where TCW is above the dashed line likely can’t be maintained solely with flow and will require mechanical clearing. The farther TCW falls above the line, the greater the magnitude of mechanical management needed. Reaches where TCW falls at/near the line can likely be maintained free of vegetation (TCW=MUCW) with limited mechanical intervention. </w:t>
      </w:r>
    </w:p>
    <w:sectPr w:rsidR="00370718" w:rsidRPr="007B1479" w:rsidSect="00EC40DD">
      <w:headerReference w:type="default" r:id="rId17"/>
      <w:footerReference w:type="default" r:id="rId18"/>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49D11A" w14:textId="77777777" w:rsidR="00B116C1" w:rsidRDefault="00B116C1" w:rsidP="003D5289">
      <w:r>
        <w:separator/>
      </w:r>
    </w:p>
  </w:endnote>
  <w:endnote w:type="continuationSeparator" w:id="0">
    <w:p w14:paraId="6A87FAB7" w14:textId="77777777" w:rsidR="00B116C1" w:rsidRDefault="00B116C1" w:rsidP="003D52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6"/>
        <w:szCs w:val="16"/>
      </w:rPr>
      <w:id w:val="575252531"/>
      <w:docPartObj>
        <w:docPartGallery w:val="Page Numbers (Bottom of Page)"/>
        <w:docPartUnique/>
      </w:docPartObj>
    </w:sdtPr>
    <w:sdtEndPr/>
    <w:sdtContent>
      <w:p w14:paraId="037BE062" w14:textId="7FF3C6BF" w:rsidR="003D5289" w:rsidRPr="003D5289" w:rsidRDefault="003D5289" w:rsidP="003D5289">
        <w:pPr>
          <w:pStyle w:val="Footer"/>
          <w:tabs>
            <w:tab w:val="left" w:pos="4380"/>
          </w:tabs>
          <w:rPr>
            <w:sz w:val="16"/>
            <w:szCs w:val="16"/>
          </w:rPr>
        </w:pPr>
        <w:r w:rsidRPr="003D5289">
          <w:rPr>
            <w:sz w:val="16"/>
            <w:szCs w:val="16"/>
          </w:rPr>
          <w:t>PRRIP Germination Suppression Data Analysis Outline</w:t>
        </w:r>
        <w:r>
          <w:rPr>
            <w:sz w:val="16"/>
            <w:szCs w:val="16"/>
          </w:rPr>
          <w:tab/>
        </w:r>
        <w:r>
          <w:rPr>
            <w:sz w:val="16"/>
            <w:szCs w:val="16"/>
          </w:rPr>
          <w:tab/>
        </w:r>
        <w:r>
          <w:rPr>
            <w:sz w:val="16"/>
            <w:szCs w:val="16"/>
          </w:rPr>
          <w:tab/>
        </w:r>
        <w:r w:rsidRPr="003D5289">
          <w:rPr>
            <w:sz w:val="16"/>
            <w:szCs w:val="16"/>
          </w:rPr>
          <w:t xml:space="preserve">Page | </w:t>
        </w:r>
        <w:r w:rsidRPr="003D5289">
          <w:rPr>
            <w:sz w:val="16"/>
            <w:szCs w:val="16"/>
          </w:rPr>
          <w:fldChar w:fldCharType="begin"/>
        </w:r>
        <w:r w:rsidRPr="003D5289">
          <w:rPr>
            <w:sz w:val="16"/>
            <w:szCs w:val="16"/>
          </w:rPr>
          <w:instrText xml:space="preserve"> PAGE   \* MERGEFORMAT </w:instrText>
        </w:r>
        <w:r w:rsidRPr="003D5289">
          <w:rPr>
            <w:sz w:val="16"/>
            <w:szCs w:val="16"/>
          </w:rPr>
          <w:fldChar w:fldCharType="separate"/>
        </w:r>
        <w:r w:rsidRPr="003D5289">
          <w:rPr>
            <w:noProof/>
            <w:sz w:val="16"/>
            <w:szCs w:val="16"/>
          </w:rPr>
          <w:t>2</w:t>
        </w:r>
        <w:r w:rsidRPr="003D5289">
          <w:rPr>
            <w:noProof/>
            <w:sz w:val="16"/>
            <w:szCs w:val="16"/>
          </w:rPr>
          <w:fldChar w:fldCharType="end"/>
        </w:r>
        <w:r w:rsidRPr="003D5289">
          <w:rPr>
            <w:sz w:val="16"/>
            <w:szCs w:val="16"/>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63757" w14:textId="77777777" w:rsidR="00B116C1" w:rsidRDefault="00B116C1" w:rsidP="003D5289">
      <w:r>
        <w:separator/>
      </w:r>
    </w:p>
  </w:footnote>
  <w:footnote w:type="continuationSeparator" w:id="0">
    <w:p w14:paraId="497EC1DA" w14:textId="77777777" w:rsidR="00B116C1" w:rsidRDefault="00B116C1" w:rsidP="003D52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5CF59D" w14:textId="35545741" w:rsidR="003D5289" w:rsidRDefault="003D5289">
    <w:pPr>
      <w:pStyle w:val="Header"/>
      <w:rPr>
        <w:rFonts w:asciiTheme="minorHAnsi" w:hAnsiTheme="minorHAnsi" w:cstheme="minorHAnsi"/>
        <w:color w:val="000000" w:themeColor="text1"/>
        <w:sz w:val="16"/>
        <w:szCs w:val="16"/>
      </w:rPr>
    </w:pPr>
    <w:r>
      <w:rPr>
        <w:noProof/>
      </w:rPr>
      <mc:AlternateContent>
        <mc:Choice Requires="wps">
          <w:drawing>
            <wp:anchor distT="4294967295" distB="4294967295" distL="114300" distR="114300" simplePos="0" relativeHeight="251659264" behindDoc="0" locked="0" layoutInCell="1" allowOverlap="1" wp14:anchorId="1E774867" wp14:editId="3FFB687A">
              <wp:simplePos x="0" y="0"/>
              <wp:positionH relativeFrom="column">
                <wp:posOffset>0</wp:posOffset>
              </wp:positionH>
              <wp:positionV relativeFrom="paragraph">
                <wp:posOffset>440054</wp:posOffset>
              </wp:positionV>
              <wp:extent cx="2743200" cy="0"/>
              <wp:effectExtent l="0" t="0" r="0" b="0"/>
              <wp:wrapNone/>
              <wp:docPr id="1475945907"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77FF9A41" id="_x0000_t32" coordsize="21600,21600" o:spt="32" o:oned="t" path="m,l21600,21600e" filled="f">
              <v:path arrowok="t" fillok="f" o:connecttype="none"/>
              <o:lock v:ext="edit" shapetype="t"/>
            </v:shapetype>
            <v:shape id="Straight Arrow Connector 2" o:spid="_x0000_s1026" type="#_x0000_t32" style="position:absolute;margin-left:0;margin-top:34.65pt;width:3in;height:0;flip:x;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" strokeweight="1pt"/>
          </w:pict>
        </mc:Fallback>
      </mc:AlternateContent>
    </w:r>
    <w:r>
      <w:rPr>
        <w:noProof/>
      </w:rPr>
      <mc:AlternateContent>
        <mc:Choice Requires="wps">
          <w:drawing>
            <wp:anchor distT="4294967295" distB="4294967295" distL="114300" distR="114300" simplePos="0" relativeHeight="251660288" behindDoc="0" locked="0" layoutInCell="1" allowOverlap="1" wp14:anchorId="5713F3AB" wp14:editId="11253D63">
              <wp:simplePos x="0" y="0"/>
              <wp:positionH relativeFrom="column">
                <wp:posOffset>3200400</wp:posOffset>
              </wp:positionH>
              <wp:positionV relativeFrom="paragraph">
                <wp:posOffset>437514</wp:posOffset>
              </wp:positionV>
              <wp:extent cx="2743200" cy="0"/>
              <wp:effectExtent l="0" t="0" r="0" b="0"/>
              <wp:wrapNone/>
              <wp:docPr id="1332539256"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3A7C2166" id="Straight Arrow Connector 1" o:spid="_x0000_s1026" type="#_x0000_t32" style="position:absolute;margin-left:252pt;margin-top:34.45pt;width:3in;height:0;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" strokeweight="1pt"/>
          </w:pict>
        </mc:Fallback>
      </mc:AlternateContent>
    </w:r>
    <w:r w:rsidRPr="003571D2">
      <w:rPr>
        <w:rFonts w:asciiTheme="minorHAnsi" w:hAnsiTheme="minorHAnsi" w:cstheme="minorHAnsi"/>
        <w:color w:val="000000" w:themeColor="text1"/>
        <w:sz w:val="16"/>
        <w:szCs w:val="16"/>
      </w:rPr>
      <w:t>PRRIP – EDO</w:t>
    </w:r>
    <w:r w:rsidR="00EC40DD">
      <w:rPr>
        <w:rFonts w:asciiTheme="minorHAnsi" w:hAnsiTheme="minorHAnsi" w:cstheme="minorHAnsi"/>
        <w:color w:val="000000" w:themeColor="text1"/>
        <w:sz w:val="16"/>
        <w:szCs w:val="16"/>
      </w:rPr>
      <w:t xml:space="preserve"> Draft</w:t>
    </w:r>
    <w:r w:rsidRPr="003571D2">
      <w:rPr>
        <w:rFonts w:asciiTheme="minorHAnsi" w:hAnsiTheme="minorHAnsi" w:cstheme="minorHAnsi"/>
        <w:color w:val="000000" w:themeColor="text1"/>
        <w:sz w:val="16"/>
        <w:szCs w:val="16"/>
      </w:rPr>
      <w:tab/>
    </w:r>
    <w:r w:rsidRPr="003571D2">
      <w:rPr>
        <w:rFonts w:asciiTheme="minorHAnsi" w:hAnsiTheme="minorHAnsi" w:cstheme="minorHAnsi"/>
        <w:noProof/>
        <w:color w:val="000000" w:themeColor="text1"/>
        <w:sz w:val="16"/>
        <w:szCs w:val="16"/>
      </w:rPr>
      <w:drawing>
        <wp:inline distT="0" distB="0" distL="0" distR="0" wp14:anchorId="3F9AC956" wp14:editId="302AB5A5">
          <wp:extent cx="431081" cy="647700"/>
          <wp:effectExtent l="0" t="0" r="762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431081" cy="647700"/>
                  </a:xfrm>
                  <a:prstGeom prst="rect">
                    <a:avLst/>
                  </a:prstGeom>
                  <a:noFill/>
                  <a:ln>
                    <a:noFill/>
                  </a:ln>
                </pic:spPr>
              </pic:pic>
            </a:graphicData>
          </a:graphic>
        </wp:inline>
      </w:drawing>
    </w:r>
    <w:r w:rsidRPr="003571D2">
      <w:rPr>
        <w:rFonts w:asciiTheme="minorHAnsi" w:hAnsiTheme="minorHAnsi" w:cstheme="minorHAnsi"/>
        <w:color w:val="000000" w:themeColor="text1"/>
        <w:sz w:val="16"/>
        <w:szCs w:val="16"/>
      </w:rPr>
      <w:tab/>
    </w:r>
    <w:r w:rsidR="005E1DEA">
      <w:rPr>
        <w:rFonts w:asciiTheme="minorHAnsi" w:hAnsiTheme="minorHAnsi" w:cstheme="minorHAnsi"/>
        <w:color w:val="000000" w:themeColor="text1"/>
        <w:sz w:val="16"/>
        <w:szCs w:val="16"/>
      </w:rPr>
      <w:t>02/01</w:t>
    </w:r>
    <w:r w:rsidRPr="003571D2">
      <w:rPr>
        <w:rFonts w:asciiTheme="minorHAnsi" w:hAnsiTheme="minorHAnsi" w:cstheme="minorHAnsi"/>
        <w:color w:val="000000" w:themeColor="text1"/>
        <w:sz w:val="16"/>
        <w:szCs w:val="16"/>
      </w:rPr>
      <w:t>/202</w:t>
    </w:r>
    <w:r>
      <w:rPr>
        <w:rFonts w:asciiTheme="minorHAnsi" w:hAnsiTheme="minorHAnsi" w:cstheme="minorHAnsi"/>
        <w:color w:val="000000" w:themeColor="text1"/>
        <w:sz w:val="16"/>
        <w:szCs w:val="16"/>
      </w:rPr>
      <w:t>4</w:t>
    </w:r>
  </w:p>
  <w:p w14:paraId="7251ECA5" w14:textId="77777777" w:rsidR="003D5289" w:rsidRPr="003D5289" w:rsidRDefault="003D5289">
    <w:pPr>
      <w:pStyle w:val="Header"/>
      <w:rPr>
        <w:rFonts w:asciiTheme="minorHAnsi" w:hAnsiTheme="minorHAnsi" w:cstheme="minorHAnsi"/>
        <w:color w:val="000000" w:themeColor="text1"/>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C5F6E"/>
    <w:multiLevelType w:val="hybridMultilevel"/>
    <w:tmpl w:val="DBE44A6E"/>
    <w:lvl w:ilvl="0" w:tplc="04090001">
      <w:start w:val="1"/>
      <w:numFmt w:val="bullet"/>
      <w:lvlText w:val=""/>
      <w:lvlJc w:val="left"/>
      <w:pPr>
        <w:ind w:left="2520" w:hanging="360"/>
      </w:pPr>
      <w:rPr>
        <w:rFonts w:ascii="Symbol" w:hAnsi="Symbol" w:hint="default"/>
      </w:rPr>
    </w:lvl>
    <w:lvl w:ilvl="1" w:tplc="04090003">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 w15:restartNumberingAfterBreak="0">
    <w:nsid w:val="03F863F5"/>
    <w:multiLevelType w:val="hybridMultilevel"/>
    <w:tmpl w:val="ED06B7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0C04E03"/>
    <w:multiLevelType w:val="hybridMultilevel"/>
    <w:tmpl w:val="24285FE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62A0E7A"/>
    <w:multiLevelType w:val="hybridMultilevel"/>
    <w:tmpl w:val="1BA637BC"/>
    <w:lvl w:ilvl="0" w:tplc="8974C382">
      <w:numFmt w:val="bullet"/>
      <w:lvlText w:val=""/>
      <w:lvlJc w:val="left"/>
      <w:pPr>
        <w:ind w:left="480" w:hanging="360"/>
      </w:pPr>
      <w:rPr>
        <w:rFonts w:ascii="Symbol" w:eastAsia="Symbol" w:hAnsi="Symbol" w:cs="Symbol" w:hint="default"/>
        <w:b w:val="0"/>
        <w:bCs w:val="0"/>
        <w:i w:val="0"/>
        <w:iCs w:val="0"/>
        <w:w w:val="100"/>
        <w:sz w:val="22"/>
        <w:szCs w:val="22"/>
        <w:lang w:val="en-US" w:eastAsia="en-US" w:bidi="ar-SA"/>
      </w:rPr>
    </w:lvl>
    <w:lvl w:ilvl="1" w:tplc="EC0878B8">
      <w:numFmt w:val="bullet"/>
      <w:lvlText w:val="•"/>
      <w:lvlJc w:val="left"/>
      <w:pPr>
        <w:ind w:left="1392" w:hanging="360"/>
      </w:pPr>
      <w:rPr>
        <w:rFonts w:hint="default"/>
        <w:lang w:val="en-US" w:eastAsia="en-US" w:bidi="ar-SA"/>
      </w:rPr>
    </w:lvl>
    <w:lvl w:ilvl="2" w:tplc="BD30704C">
      <w:numFmt w:val="bullet"/>
      <w:lvlText w:val="•"/>
      <w:lvlJc w:val="left"/>
      <w:pPr>
        <w:ind w:left="2304" w:hanging="360"/>
      </w:pPr>
      <w:rPr>
        <w:rFonts w:hint="default"/>
        <w:lang w:val="en-US" w:eastAsia="en-US" w:bidi="ar-SA"/>
      </w:rPr>
    </w:lvl>
    <w:lvl w:ilvl="3" w:tplc="8D5EF3D0">
      <w:numFmt w:val="bullet"/>
      <w:lvlText w:val="•"/>
      <w:lvlJc w:val="left"/>
      <w:pPr>
        <w:ind w:left="3216" w:hanging="360"/>
      </w:pPr>
      <w:rPr>
        <w:rFonts w:hint="default"/>
        <w:lang w:val="en-US" w:eastAsia="en-US" w:bidi="ar-SA"/>
      </w:rPr>
    </w:lvl>
    <w:lvl w:ilvl="4" w:tplc="F5DA3F90">
      <w:numFmt w:val="bullet"/>
      <w:lvlText w:val="•"/>
      <w:lvlJc w:val="left"/>
      <w:pPr>
        <w:ind w:left="4128" w:hanging="360"/>
      </w:pPr>
      <w:rPr>
        <w:rFonts w:hint="default"/>
        <w:lang w:val="en-US" w:eastAsia="en-US" w:bidi="ar-SA"/>
      </w:rPr>
    </w:lvl>
    <w:lvl w:ilvl="5" w:tplc="CE8095A4">
      <w:numFmt w:val="bullet"/>
      <w:lvlText w:val="•"/>
      <w:lvlJc w:val="left"/>
      <w:pPr>
        <w:ind w:left="5040" w:hanging="360"/>
      </w:pPr>
      <w:rPr>
        <w:rFonts w:hint="default"/>
        <w:lang w:val="en-US" w:eastAsia="en-US" w:bidi="ar-SA"/>
      </w:rPr>
    </w:lvl>
    <w:lvl w:ilvl="6" w:tplc="2246444A">
      <w:numFmt w:val="bullet"/>
      <w:lvlText w:val="•"/>
      <w:lvlJc w:val="left"/>
      <w:pPr>
        <w:ind w:left="5952" w:hanging="360"/>
      </w:pPr>
      <w:rPr>
        <w:rFonts w:hint="default"/>
        <w:lang w:val="en-US" w:eastAsia="en-US" w:bidi="ar-SA"/>
      </w:rPr>
    </w:lvl>
    <w:lvl w:ilvl="7" w:tplc="368E6AD2">
      <w:numFmt w:val="bullet"/>
      <w:lvlText w:val="•"/>
      <w:lvlJc w:val="left"/>
      <w:pPr>
        <w:ind w:left="6864" w:hanging="360"/>
      </w:pPr>
      <w:rPr>
        <w:rFonts w:hint="default"/>
        <w:lang w:val="en-US" w:eastAsia="en-US" w:bidi="ar-SA"/>
      </w:rPr>
    </w:lvl>
    <w:lvl w:ilvl="8" w:tplc="77F21690">
      <w:numFmt w:val="bullet"/>
      <w:lvlText w:val="•"/>
      <w:lvlJc w:val="left"/>
      <w:pPr>
        <w:ind w:left="7776" w:hanging="360"/>
      </w:pPr>
      <w:rPr>
        <w:rFonts w:hint="default"/>
        <w:lang w:val="en-US" w:eastAsia="en-US" w:bidi="ar-SA"/>
      </w:rPr>
    </w:lvl>
  </w:abstractNum>
  <w:abstractNum w:abstractNumId="4" w15:restartNumberingAfterBreak="0">
    <w:nsid w:val="233558AB"/>
    <w:multiLevelType w:val="hybridMultilevel"/>
    <w:tmpl w:val="A58A16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1C0403"/>
    <w:multiLevelType w:val="hybridMultilevel"/>
    <w:tmpl w:val="FA8C6A32"/>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C0B2C32"/>
    <w:multiLevelType w:val="hybridMultilevel"/>
    <w:tmpl w:val="8A2053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E7E5076"/>
    <w:multiLevelType w:val="hybridMultilevel"/>
    <w:tmpl w:val="4B8CCA5C"/>
    <w:lvl w:ilvl="0" w:tplc="B53C53DC">
      <w:start w:val="1"/>
      <w:numFmt w:val="bullet"/>
      <w:lvlText w:val=""/>
      <w:lvlJc w:val="left"/>
      <w:pPr>
        <w:ind w:left="720" w:hanging="360"/>
      </w:pPr>
      <w:rPr>
        <w:rFonts w:ascii="Symbol" w:hAnsi="Symbol" w:hint="default"/>
      </w:rPr>
    </w:lvl>
    <w:lvl w:ilvl="1" w:tplc="A67A1D8A">
      <w:start w:val="1"/>
      <w:numFmt w:val="bullet"/>
      <w:lvlText w:val="o"/>
      <w:lvlJc w:val="left"/>
      <w:pPr>
        <w:ind w:left="1440" w:hanging="360"/>
      </w:pPr>
      <w:rPr>
        <w:rFonts w:ascii="Courier New" w:hAnsi="Courier New" w:hint="default"/>
      </w:rPr>
    </w:lvl>
    <w:lvl w:ilvl="2" w:tplc="B5064F78">
      <w:start w:val="1"/>
      <w:numFmt w:val="bullet"/>
      <w:lvlText w:val=""/>
      <w:lvlJc w:val="left"/>
      <w:pPr>
        <w:ind w:left="2160" w:hanging="360"/>
      </w:pPr>
      <w:rPr>
        <w:rFonts w:ascii="Wingdings" w:hAnsi="Wingdings" w:hint="default"/>
      </w:rPr>
    </w:lvl>
    <w:lvl w:ilvl="3" w:tplc="31447FF6">
      <w:start w:val="1"/>
      <w:numFmt w:val="bullet"/>
      <w:lvlText w:val=""/>
      <w:lvlJc w:val="left"/>
      <w:pPr>
        <w:ind w:left="2880" w:hanging="360"/>
      </w:pPr>
      <w:rPr>
        <w:rFonts w:ascii="Symbol" w:hAnsi="Symbol" w:hint="default"/>
      </w:rPr>
    </w:lvl>
    <w:lvl w:ilvl="4" w:tplc="99C6E0A0">
      <w:start w:val="1"/>
      <w:numFmt w:val="bullet"/>
      <w:lvlText w:val="o"/>
      <w:lvlJc w:val="left"/>
      <w:pPr>
        <w:ind w:left="3600" w:hanging="360"/>
      </w:pPr>
      <w:rPr>
        <w:rFonts w:ascii="Courier New" w:hAnsi="Courier New" w:hint="default"/>
      </w:rPr>
    </w:lvl>
    <w:lvl w:ilvl="5" w:tplc="15665EA0">
      <w:start w:val="1"/>
      <w:numFmt w:val="bullet"/>
      <w:lvlText w:val=""/>
      <w:lvlJc w:val="left"/>
      <w:pPr>
        <w:ind w:left="4320" w:hanging="360"/>
      </w:pPr>
      <w:rPr>
        <w:rFonts w:ascii="Wingdings" w:hAnsi="Wingdings" w:hint="default"/>
      </w:rPr>
    </w:lvl>
    <w:lvl w:ilvl="6" w:tplc="B76056A2">
      <w:start w:val="1"/>
      <w:numFmt w:val="bullet"/>
      <w:lvlText w:val=""/>
      <w:lvlJc w:val="left"/>
      <w:pPr>
        <w:ind w:left="5040" w:hanging="360"/>
      </w:pPr>
      <w:rPr>
        <w:rFonts w:ascii="Symbol" w:hAnsi="Symbol" w:hint="default"/>
      </w:rPr>
    </w:lvl>
    <w:lvl w:ilvl="7" w:tplc="E046A002">
      <w:start w:val="1"/>
      <w:numFmt w:val="bullet"/>
      <w:lvlText w:val="o"/>
      <w:lvlJc w:val="left"/>
      <w:pPr>
        <w:ind w:left="5760" w:hanging="360"/>
      </w:pPr>
      <w:rPr>
        <w:rFonts w:ascii="Courier New" w:hAnsi="Courier New" w:hint="default"/>
      </w:rPr>
    </w:lvl>
    <w:lvl w:ilvl="8" w:tplc="029437C0">
      <w:start w:val="1"/>
      <w:numFmt w:val="bullet"/>
      <w:lvlText w:val=""/>
      <w:lvlJc w:val="left"/>
      <w:pPr>
        <w:ind w:left="6480" w:hanging="360"/>
      </w:pPr>
      <w:rPr>
        <w:rFonts w:ascii="Wingdings" w:hAnsi="Wingdings" w:hint="default"/>
      </w:rPr>
    </w:lvl>
  </w:abstractNum>
  <w:abstractNum w:abstractNumId="8" w15:restartNumberingAfterBreak="0">
    <w:nsid w:val="536630FE"/>
    <w:multiLevelType w:val="hybridMultilevel"/>
    <w:tmpl w:val="67F4843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686A6BB3"/>
    <w:multiLevelType w:val="hybridMultilevel"/>
    <w:tmpl w:val="02AE4FEC"/>
    <w:lvl w:ilvl="0" w:tplc="C5E0DFD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9B81372"/>
    <w:multiLevelType w:val="hybridMultilevel"/>
    <w:tmpl w:val="57FE40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621575899">
    <w:abstractNumId w:val="3"/>
  </w:num>
  <w:num w:numId="2" w16cid:durableId="1190870832">
    <w:abstractNumId w:val="9"/>
  </w:num>
  <w:num w:numId="3" w16cid:durableId="387148699">
    <w:abstractNumId w:val="5"/>
  </w:num>
  <w:num w:numId="4" w16cid:durableId="440272326">
    <w:abstractNumId w:val="7"/>
  </w:num>
  <w:num w:numId="5" w16cid:durableId="1823571774">
    <w:abstractNumId w:val="6"/>
  </w:num>
  <w:num w:numId="6" w16cid:durableId="475295126">
    <w:abstractNumId w:val="8"/>
  </w:num>
  <w:num w:numId="7" w16cid:durableId="311568729">
    <w:abstractNumId w:val="0"/>
  </w:num>
  <w:num w:numId="8" w16cid:durableId="788813946">
    <w:abstractNumId w:val="2"/>
  </w:num>
  <w:num w:numId="9" w16cid:durableId="1984771696">
    <w:abstractNumId w:val="4"/>
  </w:num>
  <w:num w:numId="10" w16cid:durableId="2143231290">
    <w:abstractNumId w:val="10"/>
  </w:num>
  <w:num w:numId="11" w16cid:durableId="5969048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289"/>
    <w:rsid w:val="0006682F"/>
    <w:rsid w:val="000872EE"/>
    <w:rsid w:val="000E5A82"/>
    <w:rsid w:val="00165EB5"/>
    <w:rsid w:val="001C581F"/>
    <w:rsid w:val="001E70B6"/>
    <w:rsid w:val="002049A7"/>
    <w:rsid w:val="00244ED4"/>
    <w:rsid w:val="00256144"/>
    <w:rsid w:val="00276DC7"/>
    <w:rsid w:val="0028135B"/>
    <w:rsid w:val="002B73E9"/>
    <w:rsid w:val="002C2759"/>
    <w:rsid w:val="002C2E77"/>
    <w:rsid w:val="002E440D"/>
    <w:rsid w:val="002E5EF5"/>
    <w:rsid w:val="00306BC5"/>
    <w:rsid w:val="00316137"/>
    <w:rsid w:val="00370718"/>
    <w:rsid w:val="003A7F3B"/>
    <w:rsid w:val="003D1F1C"/>
    <w:rsid w:val="003D5289"/>
    <w:rsid w:val="00466697"/>
    <w:rsid w:val="00496511"/>
    <w:rsid w:val="004B2413"/>
    <w:rsid w:val="004D28F8"/>
    <w:rsid w:val="00514EE7"/>
    <w:rsid w:val="00534D63"/>
    <w:rsid w:val="00536A10"/>
    <w:rsid w:val="0057469D"/>
    <w:rsid w:val="005B2AA7"/>
    <w:rsid w:val="005E1DEA"/>
    <w:rsid w:val="005F1614"/>
    <w:rsid w:val="00697972"/>
    <w:rsid w:val="006F7F05"/>
    <w:rsid w:val="00761375"/>
    <w:rsid w:val="00765B3E"/>
    <w:rsid w:val="007770D9"/>
    <w:rsid w:val="007B1479"/>
    <w:rsid w:val="007D1629"/>
    <w:rsid w:val="007D385E"/>
    <w:rsid w:val="00813B4E"/>
    <w:rsid w:val="00835A7D"/>
    <w:rsid w:val="00876596"/>
    <w:rsid w:val="008A3EF2"/>
    <w:rsid w:val="00933605"/>
    <w:rsid w:val="009C4838"/>
    <w:rsid w:val="00A01C87"/>
    <w:rsid w:val="00A26174"/>
    <w:rsid w:val="00A678ED"/>
    <w:rsid w:val="00AF6A4E"/>
    <w:rsid w:val="00B041EF"/>
    <w:rsid w:val="00B116C1"/>
    <w:rsid w:val="00B36C41"/>
    <w:rsid w:val="00B44B4E"/>
    <w:rsid w:val="00B853BF"/>
    <w:rsid w:val="00BB0511"/>
    <w:rsid w:val="00BB218D"/>
    <w:rsid w:val="00C519BF"/>
    <w:rsid w:val="00C539BD"/>
    <w:rsid w:val="00C56496"/>
    <w:rsid w:val="00C56915"/>
    <w:rsid w:val="00C822CD"/>
    <w:rsid w:val="00CA163A"/>
    <w:rsid w:val="00D7363A"/>
    <w:rsid w:val="00DF5D24"/>
    <w:rsid w:val="00E11C72"/>
    <w:rsid w:val="00E35CE6"/>
    <w:rsid w:val="00EC0F28"/>
    <w:rsid w:val="00EC40DD"/>
    <w:rsid w:val="00EE6784"/>
    <w:rsid w:val="00FA031C"/>
    <w:rsid w:val="00FA7E7D"/>
    <w:rsid w:val="00FF0F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97D56E"/>
  <w15:chartTrackingRefBased/>
  <w15:docId w15:val="{4B09EA64-6F0A-4851-83D7-952189EE95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heme="minorBidi"/>
        <w:kern w:val="2"/>
        <w:sz w:val="22"/>
        <w:szCs w:val="22"/>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C56496"/>
    <w:pPr>
      <w:widowControl w:val="0"/>
      <w:autoSpaceDE w:val="0"/>
      <w:autoSpaceDN w:val="0"/>
      <w:spacing w:before="122"/>
      <w:ind w:hanging="442"/>
      <w:outlineLvl w:val="0"/>
    </w:pPr>
    <w:rPr>
      <w:rFonts w:ascii="Times New Roman" w:eastAsia="Times New Roman" w:hAnsi="Times New Roman" w:cs="Times New Roman"/>
      <w:b/>
      <w:bCs/>
      <w:kern w:val="0"/>
      <w14:ligatures w14:val="none"/>
    </w:rPr>
  </w:style>
  <w:style w:type="paragraph" w:styleId="Heading2">
    <w:name w:val="heading 2"/>
    <w:basedOn w:val="Normal"/>
    <w:next w:val="Normal"/>
    <w:link w:val="Heading2Char"/>
    <w:uiPriority w:val="9"/>
    <w:semiHidden/>
    <w:unhideWhenUsed/>
    <w:qFormat/>
    <w:rsid w:val="00C5649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A678ED"/>
    <w:rPr>
      <w:rFonts w:ascii="Calibri" w:hAnsi="Calibri"/>
      <w:sz w:val="16"/>
    </w:rPr>
  </w:style>
  <w:style w:type="paragraph" w:styleId="Header">
    <w:name w:val="header"/>
    <w:basedOn w:val="Normal"/>
    <w:link w:val="HeaderChar"/>
    <w:uiPriority w:val="99"/>
    <w:unhideWhenUsed/>
    <w:rsid w:val="003D5289"/>
    <w:pPr>
      <w:tabs>
        <w:tab w:val="center" w:pos="4680"/>
        <w:tab w:val="right" w:pos="9360"/>
      </w:tabs>
    </w:pPr>
  </w:style>
  <w:style w:type="character" w:customStyle="1" w:styleId="HeaderChar">
    <w:name w:val="Header Char"/>
    <w:basedOn w:val="DefaultParagraphFont"/>
    <w:link w:val="Header"/>
    <w:uiPriority w:val="99"/>
    <w:rsid w:val="003D5289"/>
  </w:style>
  <w:style w:type="paragraph" w:styleId="Footer">
    <w:name w:val="footer"/>
    <w:basedOn w:val="Normal"/>
    <w:link w:val="FooterChar"/>
    <w:uiPriority w:val="99"/>
    <w:unhideWhenUsed/>
    <w:rsid w:val="003D5289"/>
    <w:pPr>
      <w:tabs>
        <w:tab w:val="center" w:pos="4680"/>
        <w:tab w:val="right" w:pos="9360"/>
      </w:tabs>
    </w:pPr>
  </w:style>
  <w:style w:type="character" w:customStyle="1" w:styleId="FooterChar">
    <w:name w:val="Footer Char"/>
    <w:basedOn w:val="DefaultParagraphFont"/>
    <w:link w:val="Footer"/>
    <w:uiPriority w:val="99"/>
    <w:rsid w:val="003D5289"/>
  </w:style>
  <w:style w:type="character" w:customStyle="1" w:styleId="Heading1Char">
    <w:name w:val="Heading 1 Char"/>
    <w:basedOn w:val="DefaultParagraphFont"/>
    <w:link w:val="Heading1"/>
    <w:uiPriority w:val="9"/>
    <w:rsid w:val="00C56496"/>
    <w:rPr>
      <w:rFonts w:ascii="Times New Roman" w:eastAsia="Times New Roman" w:hAnsi="Times New Roman" w:cs="Times New Roman"/>
      <w:b/>
      <w:bCs/>
      <w:kern w:val="0"/>
      <w14:ligatures w14:val="none"/>
    </w:rPr>
  </w:style>
  <w:style w:type="paragraph" w:styleId="BodyText">
    <w:name w:val="Body Text"/>
    <w:basedOn w:val="Normal"/>
    <w:link w:val="BodyTextChar"/>
    <w:uiPriority w:val="1"/>
    <w:qFormat/>
    <w:rsid w:val="00C56496"/>
    <w:pPr>
      <w:widowControl w:val="0"/>
      <w:autoSpaceDE w:val="0"/>
      <w:autoSpaceDN w:val="0"/>
    </w:pPr>
    <w:rPr>
      <w:rFonts w:ascii="Times New Roman" w:eastAsia="Times New Roman" w:hAnsi="Times New Roman" w:cs="Times New Roman"/>
      <w:kern w:val="0"/>
      <w14:ligatures w14:val="none"/>
    </w:rPr>
  </w:style>
  <w:style w:type="character" w:customStyle="1" w:styleId="BodyTextChar">
    <w:name w:val="Body Text Char"/>
    <w:basedOn w:val="DefaultParagraphFont"/>
    <w:link w:val="BodyText"/>
    <w:uiPriority w:val="1"/>
    <w:rsid w:val="00C56496"/>
    <w:rPr>
      <w:rFonts w:ascii="Times New Roman" w:eastAsia="Times New Roman" w:hAnsi="Times New Roman" w:cs="Times New Roman"/>
      <w:kern w:val="0"/>
      <w14:ligatures w14:val="none"/>
    </w:rPr>
  </w:style>
  <w:style w:type="paragraph" w:styleId="ListParagraph">
    <w:name w:val="List Paragraph"/>
    <w:basedOn w:val="Normal"/>
    <w:uiPriority w:val="34"/>
    <w:qFormat/>
    <w:rsid w:val="00C56496"/>
    <w:pPr>
      <w:widowControl w:val="0"/>
      <w:autoSpaceDE w:val="0"/>
      <w:autoSpaceDN w:val="0"/>
      <w:spacing w:before="122"/>
      <w:ind w:left="480" w:hanging="360"/>
    </w:pPr>
    <w:rPr>
      <w:rFonts w:ascii="Times New Roman" w:eastAsia="Times New Roman" w:hAnsi="Times New Roman" w:cs="Times New Roman"/>
      <w:kern w:val="0"/>
      <w14:ligatures w14:val="none"/>
    </w:rPr>
  </w:style>
  <w:style w:type="character" w:styleId="Hyperlink">
    <w:name w:val="Hyperlink"/>
    <w:basedOn w:val="DefaultParagraphFont"/>
    <w:uiPriority w:val="99"/>
    <w:unhideWhenUsed/>
    <w:rsid w:val="00C56496"/>
    <w:rPr>
      <w:color w:val="0563C1" w:themeColor="hyperlink"/>
      <w:u w:val="single"/>
    </w:rPr>
  </w:style>
  <w:style w:type="character" w:customStyle="1" w:styleId="Heading2Char">
    <w:name w:val="Heading 2 Char"/>
    <w:basedOn w:val="DefaultParagraphFont"/>
    <w:link w:val="Heading2"/>
    <w:uiPriority w:val="9"/>
    <w:semiHidden/>
    <w:rsid w:val="00C56496"/>
    <w:rPr>
      <w:rFonts w:asciiTheme="majorHAnsi" w:eastAsiaTheme="majorEastAsia" w:hAnsiTheme="majorHAnsi" w:cstheme="majorBidi"/>
      <w:color w:val="2F5496" w:themeColor="accent1" w:themeShade="BF"/>
      <w:sz w:val="26"/>
      <w:szCs w:val="26"/>
    </w:rPr>
  </w:style>
  <w:style w:type="character" w:styleId="CommentReference">
    <w:name w:val="annotation reference"/>
    <w:basedOn w:val="DefaultParagraphFont"/>
    <w:uiPriority w:val="99"/>
    <w:semiHidden/>
    <w:unhideWhenUsed/>
    <w:rsid w:val="008A3EF2"/>
    <w:rPr>
      <w:sz w:val="16"/>
      <w:szCs w:val="16"/>
    </w:rPr>
  </w:style>
  <w:style w:type="paragraph" w:styleId="CommentText">
    <w:name w:val="annotation text"/>
    <w:basedOn w:val="Normal"/>
    <w:link w:val="CommentTextChar"/>
    <w:uiPriority w:val="99"/>
    <w:unhideWhenUsed/>
    <w:rsid w:val="008A3EF2"/>
    <w:pPr>
      <w:widowControl w:val="0"/>
      <w:autoSpaceDE w:val="0"/>
      <w:autoSpaceDN w:val="0"/>
    </w:pPr>
    <w:rPr>
      <w:rFonts w:ascii="Times New Roman" w:eastAsia="Times New Roman" w:hAnsi="Times New Roman" w:cs="Times New Roman"/>
      <w:kern w:val="0"/>
      <w:sz w:val="20"/>
      <w:szCs w:val="20"/>
      <w14:ligatures w14:val="none"/>
    </w:rPr>
  </w:style>
  <w:style w:type="character" w:customStyle="1" w:styleId="CommentTextChar">
    <w:name w:val="Comment Text Char"/>
    <w:basedOn w:val="DefaultParagraphFont"/>
    <w:link w:val="CommentText"/>
    <w:uiPriority w:val="99"/>
    <w:rsid w:val="008A3EF2"/>
    <w:rPr>
      <w:rFonts w:ascii="Times New Roman" w:eastAsia="Times New Roman" w:hAnsi="Times New Roman" w:cs="Times New Roman"/>
      <w:kern w:val="0"/>
      <w:sz w:val="20"/>
      <w:szCs w:val="20"/>
      <w14:ligatures w14:val="none"/>
    </w:rPr>
  </w:style>
  <w:style w:type="table" w:styleId="TableGrid">
    <w:name w:val="Table Grid"/>
    <w:basedOn w:val="TableNormal"/>
    <w:uiPriority w:val="39"/>
    <w:rsid w:val="008A3EF2"/>
    <w:pPr>
      <w:widowControl w:val="0"/>
      <w:autoSpaceDE w:val="0"/>
      <w:autoSpaceDN w:val="0"/>
    </w:pPr>
    <w:rPr>
      <w:rFonts w:asciiTheme="minorHAnsi" w:hAnsiTheme="minorHAnsi"/>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C519BF"/>
    <w:pPr>
      <w:widowControl/>
      <w:autoSpaceDE/>
      <w:autoSpaceDN/>
    </w:pPr>
    <w:rPr>
      <w:rFonts w:ascii="Calibri" w:eastAsiaTheme="minorHAnsi" w:hAnsi="Calibri" w:cstheme="minorBidi"/>
      <w:b/>
      <w:bCs/>
      <w:kern w:val="2"/>
      <w14:ligatures w14:val="standardContextual"/>
    </w:rPr>
  </w:style>
  <w:style w:type="character" w:customStyle="1" w:styleId="CommentSubjectChar">
    <w:name w:val="Comment Subject Char"/>
    <w:basedOn w:val="CommentTextChar"/>
    <w:link w:val="CommentSubject"/>
    <w:uiPriority w:val="99"/>
    <w:semiHidden/>
    <w:rsid w:val="00C519BF"/>
    <w:rPr>
      <w:rFonts w:ascii="Times New Roman" w:eastAsia="Times New Roman" w:hAnsi="Times New Roman" w:cs="Times New Roman"/>
      <w:b/>
      <w:bCs/>
      <w:kern w:val="0"/>
      <w:sz w:val="20"/>
      <w:szCs w:val="20"/>
      <w14:ligatures w14:val="none"/>
    </w:rPr>
  </w:style>
  <w:style w:type="paragraph" w:styleId="Revision">
    <w:name w:val="Revision"/>
    <w:hidden/>
    <w:uiPriority w:val="99"/>
    <w:semiHidden/>
    <w:rsid w:val="00514EE7"/>
  </w:style>
  <w:style w:type="table" w:styleId="PlainTable1">
    <w:name w:val="Plain Table 1"/>
    <w:basedOn w:val="TableNormal"/>
    <w:uiPriority w:val="41"/>
    <w:rsid w:val="00370718"/>
    <w:rPr>
      <w:rFonts w:asciiTheme="minorHAnsi" w:hAnsiTheme="minorHAnsi"/>
      <w:kern w:val="0"/>
      <w14:ligatures w14:val="none"/>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Spacing">
    <w:name w:val="No Spacing"/>
    <w:uiPriority w:val="1"/>
    <w:qFormat/>
    <w:rsid w:val="00370718"/>
    <w:rPr>
      <w:rFonts w:asciiTheme="minorHAnsi" w:hAnsiTheme="minorHAnsi"/>
      <w:kern w:val="0"/>
      <w14:ligatures w14:val="none"/>
    </w:rPr>
  </w:style>
  <w:style w:type="character" w:styleId="FollowedHyperlink">
    <w:name w:val="FollowedHyperlink"/>
    <w:basedOn w:val="DefaultParagraphFont"/>
    <w:uiPriority w:val="99"/>
    <w:semiHidden/>
    <w:unhideWhenUsed/>
    <w:rsid w:val="002561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latteriverprogram.org/document/prrip-extension-science-plan" TargetMode="Externa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platteriverprogram.org/document/prrip-extension-science-plan"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oleObject" Target="../embeddings/oleObject1.bin"/></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v>TUCW (Total Unvegetated Channel Width)</c:v>
          </c:tx>
          <c:spPr>
            <a:ln w="25400" cap="rnd">
              <a:noFill/>
              <a:round/>
            </a:ln>
            <a:effectLst/>
          </c:spPr>
          <c:marker>
            <c:symbol val="circle"/>
            <c:size val="5"/>
            <c:spPr>
              <a:solidFill>
                <a:schemeClr val="accent1"/>
              </a:solidFill>
              <a:ln w="9525">
                <a:solidFill>
                  <a:schemeClr val="accent1"/>
                </a:solidFill>
              </a:ln>
              <a:effectLst/>
            </c:spPr>
          </c:marker>
          <c:dLbls>
            <c:dLbl>
              <c:idx val="0"/>
              <c:tx>
                <c:rich>
                  <a:bodyPr/>
                  <a:lstStyle/>
                  <a:p>
                    <a:fld id="{BF31FBAB-F27A-4E1C-86FD-7A85EC3F7073}"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0-31A7-4662-92F5-E69337B8E1E0}"/>
                </c:ext>
              </c:extLst>
            </c:dLbl>
            <c:dLbl>
              <c:idx val="1"/>
              <c:layout>
                <c:manualLayout>
                  <c:x val="-7.7545642021583566E-2"/>
                  <c:y val="-6.1776053428989827E-2"/>
                </c:manualLayout>
              </c:layout>
              <c:tx>
                <c:rich>
                  <a:bodyPr/>
                  <a:lstStyle/>
                  <a:p>
                    <a:fld id="{E342D43A-BAF0-472A-905E-337A375281D4}"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31A7-4662-92F5-E69337B8E1E0}"/>
                </c:ext>
              </c:extLst>
            </c:dLbl>
            <c:dLbl>
              <c:idx val="2"/>
              <c:layout>
                <c:manualLayout>
                  <c:x val="-2.5978239235855682E-3"/>
                  <c:y val="1.1713032547166475E-2"/>
                </c:manualLayout>
              </c:layout>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2-31A7-4662-92F5-E69337B8E1E0}"/>
                </c:ext>
              </c:extLst>
            </c:dLbl>
            <c:dLbl>
              <c:idx val="3"/>
              <c:layout>
                <c:manualLayout>
                  <c:x val="0"/>
                  <c:y val="-3.9043441823888971E-3"/>
                </c:manualLayout>
              </c:layout>
              <c:tx>
                <c:rich>
                  <a:bodyPr/>
                  <a:lstStyle/>
                  <a:p>
                    <a:fld id="{41C779A3-48BE-4FD6-A336-FFEC22A16AF0}"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31A7-4662-92F5-E69337B8E1E0}"/>
                </c:ext>
              </c:extLst>
            </c:dLbl>
            <c:dLbl>
              <c:idx val="4"/>
              <c:layout>
                <c:manualLayout>
                  <c:x val="-9.8717309096249789E-2"/>
                  <c:y val="-3.9043441823888324E-2"/>
                </c:manualLayout>
              </c:layout>
              <c:tx>
                <c:rich>
                  <a:bodyPr/>
                  <a:lstStyle/>
                  <a:p>
                    <a:fld id="{7E9E3D7F-5A68-4AF1-86AF-DD612A408D0A}"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31A7-4662-92F5-E69337B8E1E0}"/>
                </c:ext>
              </c:extLst>
            </c:dLbl>
            <c:dLbl>
              <c:idx val="5"/>
              <c:layout>
                <c:manualLayout>
                  <c:x val="2.5978239235855205E-3"/>
                  <c:y val="3.1234753459110604E-2"/>
                </c:manualLayout>
              </c:layout>
              <c:tx>
                <c:rich>
                  <a:bodyPr/>
                  <a:lstStyle/>
                  <a:p>
                    <a:fld id="{6E8C574C-BA1E-4880-894C-20F677CBF718}"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31A7-4662-92F5-E69337B8E1E0}"/>
                </c:ext>
              </c:extLst>
            </c:dLbl>
            <c:dLbl>
              <c:idx val="6"/>
              <c:tx>
                <c:rich>
                  <a:bodyPr/>
                  <a:lstStyle/>
                  <a:p>
                    <a:fld id="{21424358-5446-4651-BBAC-6DA93A7A944B}"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31A7-4662-92F5-E69337B8E1E0}"/>
                </c:ext>
              </c:extLst>
            </c:dLbl>
            <c:dLbl>
              <c:idx val="7"/>
              <c:layout>
                <c:manualLayout>
                  <c:x val="-0.14807596364437467"/>
                  <c:y val="-2.3426065094333023E-2"/>
                </c:manualLayout>
              </c:layout>
              <c:tx>
                <c:rich>
                  <a:bodyPr/>
                  <a:lstStyle/>
                  <a:p>
                    <a:fld id="{FC244890-018D-4C97-ADF9-11B70B07965C}" type="CELLRANGE">
                      <a:rPr lang="en-US"/>
                      <a:pPr/>
                      <a:t>[CELLRANGE]</a:t>
                    </a:fld>
                    <a:endParaRPr lang="en-US"/>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31A7-4662-92F5-E69337B8E1E0}"/>
                </c:ext>
              </c:extLst>
            </c:dLbl>
            <c:dLbl>
              <c:idx val="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xForSave val="1"/>
                  <c15:showDataLabelsRange val="1"/>
                </c:ext>
                <c:ext xmlns:c16="http://schemas.microsoft.com/office/drawing/2014/chart" uri="{C3380CC4-5D6E-409C-BE32-E72D297353CC}">
                  <c16:uniqueId val="{00000008-31A7-4662-92F5-E69337B8E1E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exp"/>
            <c:dispRSqr val="0"/>
            <c:dispEq val="0"/>
          </c:trendline>
          <c:xVal>
            <c:numRef>
              <c:f>'[TUCW CONSOL.xlsx]MANAGED'!$H$4:$H$12</c:f>
              <c:numCache>
                <c:formatCode>0%</c:formatCode>
                <c:ptCount val="9"/>
                <c:pt idx="0">
                  <c:v>0.7493333333333333</c:v>
                </c:pt>
                <c:pt idx="1">
                  <c:v>1</c:v>
                </c:pt>
                <c:pt idx="3">
                  <c:v>0.46600000000000003</c:v>
                </c:pt>
                <c:pt idx="4">
                  <c:v>0.41799999999999998</c:v>
                </c:pt>
                <c:pt idx="5">
                  <c:v>0.21</c:v>
                </c:pt>
                <c:pt idx="6">
                  <c:v>0.83</c:v>
                </c:pt>
                <c:pt idx="7">
                  <c:v>0.41799999999999998</c:v>
                </c:pt>
              </c:numCache>
            </c:numRef>
          </c:xVal>
          <c:yVal>
            <c:numRef>
              <c:f>'[TUCW CONSOL.xlsx]MANAGED'!$I$4:$I$12</c:f>
              <c:numCache>
                <c:formatCode>General</c:formatCode>
                <c:ptCount val="9"/>
                <c:pt idx="0">
                  <c:v>656.5</c:v>
                </c:pt>
                <c:pt idx="1">
                  <c:v>1037.25</c:v>
                </c:pt>
                <c:pt idx="3">
                  <c:v>431</c:v>
                </c:pt>
                <c:pt idx="4">
                  <c:v>539.5</c:v>
                </c:pt>
                <c:pt idx="5">
                  <c:v>321</c:v>
                </c:pt>
                <c:pt idx="6">
                  <c:v>745</c:v>
                </c:pt>
                <c:pt idx="7">
                  <c:v>465</c:v>
                </c:pt>
              </c:numCache>
            </c:numRef>
          </c:yVal>
          <c:smooth val="0"/>
          <c:extLst>
            <c:ext xmlns:c15="http://schemas.microsoft.com/office/drawing/2012/chart" uri="{02D57815-91ED-43cb-92C2-25804820EDAC}">
              <c15:datalabelsRange>
                <c15:f>'[TUCW CONSOL.xlsx]MANAGED'!$K$4:$K$11</c15:f>
                <c15:dlblRangeCache>
                  <c:ptCount val="8"/>
                  <c:pt idx="0">
                    <c:v>CWR</c:v>
                  </c:pt>
                  <c:pt idx="1">
                    <c:v>Various</c:v>
                  </c:pt>
                  <c:pt idx="3">
                    <c:v>Pawnee</c:v>
                  </c:pt>
                  <c:pt idx="4">
                    <c:v>Rowe</c:v>
                  </c:pt>
                  <c:pt idx="5">
                    <c:v>WCT MI</c:v>
                  </c:pt>
                  <c:pt idx="6">
                    <c:v>WCT WRR</c:v>
                  </c:pt>
                  <c:pt idx="7">
                    <c:v>Ft. Kearny</c:v>
                  </c:pt>
                </c15:dlblRangeCache>
              </c15:datalabelsRange>
            </c:ext>
            <c:ext xmlns:c16="http://schemas.microsoft.com/office/drawing/2014/chart" uri="{C3380CC4-5D6E-409C-BE32-E72D297353CC}">
              <c16:uniqueId val="{0000000A-31A7-4662-92F5-E69337B8E1E0}"/>
            </c:ext>
          </c:extLst>
        </c:ser>
        <c:ser>
          <c:idx val="1"/>
          <c:order val="1"/>
          <c:tx>
            <c:v>TCW (Total Channel Width)</c:v>
          </c:tx>
          <c:spPr>
            <a:ln w="25400" cap="rnd">
              <a:noFill/>
              <a:round/>
            </a:ln>
            <a:effectLst/>
          </c:spPr>
          <c:marker>
            <c:symbol val="circle"/>
            <c:size val="9"/>
            <c:spPr>
              <a:noFill/>
              <a:ln w="9525">
                <a:solidFill>
                  <a:srgbClr val="00B050"/>
                </a:solidFill>
              </a:ln>
              <a:effectLst/>
            </c:spPr>
          </c:marker>
          <c:xVal>
            <c:numRef>
              <c:f>'[TUCW CONSOL.xlsx]MANAGED'!$H$4:$H$11</c:f>
              <c:numCache>
                <c:formatCode>0%</c:formatCode>
                <c:ptCount val="8"/>
                <c:pt idx="0">
                  <c:v>0.7493333333333333</c:v>
                </c:pt>
                <c:pt idx="1">
                  <c:v>1</c:v>
                </c:pt>
                <c:pt idx="3">
                  <c:v>0.46600000000000003</c:v>
                </c:pt>
                <c:pt idx="4">
                  <c:v>0.41799999999999998</c:v>
                </c:pt>
                <c:pt idx="5">
                  <c:v>0.21</c:v>
                </c:pt>
                <c:pt idx="6">
                  <c:v>0.83</c:v>
                </c:pt>
                <c:pt idx="7">
                  <c:v>0.41799999999999998</c:v>
                </c:pt>
              </c:numCache>
            </c:numRef>
          </c:xVal>
          <c:yVal>
            <c:numRef>
              <c:f>'[TUCW CONSOL.xlsx]MANAGED'!$J$4:$J$11</c:f>
              <c:numCache>
                <c:formatCode>0</c:formatCode>
                <c:ptCount val="8"/>
                <c:pt idx="0">
                  <c:v>656.5</c:v>
                </c:pt>
                <c:pt idx="1">
                  <c:v>1080.25</c:v>
                </c:pt>
                <c:pt idx="3">
                  <c:v>431</c:v>
                </c:pt>
                <c:pt idx="4">
                  <c:v>862.5</c:v>
                </c:pt>
                <c:pt idx="5">
                  <c:v>800</c:v>
                </c:pt>
                <c:pt idx="6">
                  <c:v>745</c:v>
                </c:pt>
                <c:pt idx="7">
                  <c:v>866.66666666666663</c:v>
                </c:pt>
              </c:numCache>
            </c:numRef>
          </c:yVal>
          <c:smooth val="0"/>
          <c:extLst>
            <c:ext xmlns:c16="http://schemas.microsoft.com/office/drawing/2014/chart" uri="{C3380CC4-5D6E-409C-BE32-E72D297353CC}">
              <c16:uniqueId val="{0000000B-31A7-4662-92F5-E69337B8E1E0}"/>
            </c:ext>
          </c:extLst>
        </c:ser>
        <c:dLbls>
          <c:showLegendKey val="0"/>
          <c:showVal val="0"/>
          <c:showCatName val="0"/>
          <c:showSerName val="0"/>
          <c:showPercent val="0"/>
          <c:showBubbleSize val="0"/>
        </c:dLbls>
        <c:axId val="1531268152"/>
        <c:axId val="1531263472"/>
      </c:scatterChart>
      <c:valAx>
        <c:axId val="1531268152"/>
        <c:scaling>
          <c:orientation val="minMax"/>
          <c:max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Flow Consolidation (% Flow in Main Channel at 1,500 cfs)</a:t>
                </a:r>
              </a:p>
            </c:rich>
          </c:tx>
          <c:layout>
            <c:manualLayout>
              <c:xMode val="edge"/>
              <c:yMode val="edge"/>
              <c:x val="0.21477582277757973"/>
              <c:y val="0.8322628816988576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31263472"/>
        <c:crosses val="autoZero"/>
        <c:crossBetween val="midCat"/>
        <c:majorUnit val="0.1"/>
        <c:minorUnit val="5.000000000000001E-2"/>
      </c:valAx>
      <c:valAx>
        <c:axId val="1531263472"/>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Mean Width</a:t>
                </a:r>
                <a:r>
                  <a:rPr lang="en-US" baseline="0"/>
                  <a:t> of Main Channel (ft)</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31268152"/>
        <c:crosses val="autoZero"/>
        <c:crossBetween val="midCat"/>
        <c:majorUnit val="100"/>
        <c:minorUnit val="50"/>
      </c:valAx>
      <c:spPr>
        <a:noFill/>
        <a:ln>
          <a:noFill/>
        </a:ln>
        <a:effectLst/>
      </c:spPr>
    </c:plotArea>
    <c:legend>
      <c:legendPos val="b"/>
      <c:legendEntry>
        <c:idx val="2"/>
        <c:delete val="1"/>
      </c:legendEntry>
      <c:layout>
        <c:manualLayout>
          <c:xMode val="edge"/>
          <c:yMode val="edge"/>
          <c:x val="3.1357038887061452E-4"/>
          <c:y val="0.89141223679307147"/>
          <c:w val="0.99023913681477893"/>
          <c:h val="9.909949106368581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0.11746</cdr:x>
      <cdr:y>0.37487</cdr:y>
    </cdr:from>
    <cdr:to>
      <cdr:x>0.95106</cdr:x>
      <cdr:y>0.37487</cdr:y>
    </cdr:to>
    <cdr:cxnSp macro="">
      <cdr:nvCxnSpPr>
        <cdr:cNvPr id="3" name="Straight Connector 2">
          <a:extLst xmlns:a="http://schemas.openxmlformats.org/drawingml/2006/main">
            <a:ext uri="{FF2B5EF4-FFF2-40B4-BE49-F238E27FC236}">
              <a16:creationId xmlns:a16="http://schemas.microsoft.com/office/drawing/2014/main" id="{C0A71E51-0702-E39E-C875-58C0E48A2C01}"/>
            </a:ext>
          </a:extLst>
        </cdr:cNvPr>
        <cdr:cNvCxnSpPr/>
      </cdr:nvCxnSpPr>
      <cdr:spPr>
        <a:xfrm xmlns:a="http://schemas.openxmlformats.org/drawingml/2006/main">
          <a:off x="685800" y="1387073"/>
          <a:ext cx="4867275" cy="0"/>
        </a:xfrm>
        <a:prstGeom xmlns:a="http://schemas.openxmlformats.org/drawingml/2006/main" prst="line">
          <a:avLst/>
        </a:prstGeom>
        <a:ln xmlns:a="http://schemas.openxmlformats.org/drawingml/2006/main">
          <a:solidFill>
            <a:srgbClr val="FF0000"/>
          </a:solidFill>
        </a:ln>
      </cdr:spPr>
      <cdr:style>
        <a:lnRef xmlns:a="http://schemas.openxmlformats.org/drawingml/2006/main" idx="1">
          <a:schemeClr val="accent2"/>
        </a:lnRef>
        <a:fillRef xmlns:a="http://schemas.openxmlformats.org/drawingml/2006/main" idx="0">
          <a:schemeClr val="accent2"/>
        </a:fillRef>
        <a:effectRef xmlns:a="http://schemas.openxmlformats.org/drawingml/2006/main" idx="0">
          <a:schemeClr val="accent2"/>
        </a:effectRef>
        <a:fontRef xmlns:a="http://schemas.openxmlformats.org/drawingml/2006/main" idx="minor">
          <a:schemeClr val="tx1"/>
        </a:fontRef>
      </cdr:style>
    </cdr:cxnSp>
  </cdr:relSizeAnchor>
  <cdr:relSizeAnchor xmlns:cdr="http://schemas.openxmlformats.org/drawingml/2006/chartDrawing">
    <cdr:from>
      <cdr:x>0.29403</cdr:x>
      <cdr:y>0.29413</cdr:y>
    </cdr:from>
    <cdr:to>
      <cdr:x>0.29403</cdr:x>
      <cdr:y>0.56341</cdr:y>
    </cdr:to>
    <cdr:cxnSp macro="">
      <cdr:nvCxnSpPr>
        <cdr:cNvPr id="4" name="Straight Connector 3">
          <a:extLst xmlns:a="http://schemas.openxmlformats.org/drawingml/2006/main">
            <a:ext uri="{FF2B5EF4-FFF2-40B4-BE49-F238E27FC236}">
              <a16:creationId xmlns:a16="http://schemas.microsoft.com/office/drawing/2014/main" id="{DCCFC2C9-ADDF-AD8A-602D-984278563E35}"/>
            </a:ext>
          </a:extLst>
        </cdr:cNvPr>
        <cdr:cNvCxnSpPr/>
      </cdr:nvCxnSpPr>
      <cdr:spPr>
        <a:xfrm xmlns:a="http://schemas.openxmlformats.org/drawingml/2006/main" flipV="1">
          <a:off x="1716802" y="1088324"/>
          <a:ext cx="0" cy="99637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0.46605</cdr:x>
      <cdr:y>0.24985</cdr:y>
    </cdr:from>
    <cdr:to>
      <cdr:x>0.46605</cdr:x>
      <cdr:y>0.43412</cdr:y>
    </cdr:to>
    <cdr:cxnSp macro="">
      <cdr:nvCxnSpPr>
        <cdr:cNvPr id="5" name="Straight Connector 4">
          <a:extLst xmlns:a="http://schemas.openxmlformats.org/drawingml/2006/main">
            <a:ext uri="{FF2B5EF4-FFF2-40B4-BE49-F238E27FC236}">
              <a16:creationId xmlns:a16="http://schemas.microsoft.com/office/drawing/2014/main" id="{A3BC3FEC-5169-B99C-C776-1A025786676A}"/>
            </a:ext>
          </a:extLst>
        </cdr:cNvPr>
        <cdr:cNvCxnSpPr/>
      </cdr:nvCxnSpPr>
      <cdr:spPr>
        <a:xfrm xmlns:a="http://schemas.openxmlformats.org/drawingml/2006/main" flipV="1">
          <a:off x="2721212" y="924466"/>
          <a:ext cx="0" cy="681825"/>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50076D-201F-4277-B17E-5E53FE047B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11</Pages>
  <Words>2190</Words>
  <Characters>12483</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Chadwin Smith</dc:creator>
  <cp:keywords/>
  <dc:description/>
  <cp:lastModifiedBy>Chadwin Smith</cp:lastModifiedBy>
  <cp:revision>17</cp:revision>
  <dcterms:created xsi:type="dcterms:W3CDTF">2024-02-01T15:06:00Z</dcterms:created>
  <dcterms:modified xsi:type="dcterms:W3CDTF">2024-02-02T20:03:00Z</dcterms:modified>
</cp:coreProperties>
</file>